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rightChars="0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eastAsia="zh-CN"/>
        </w:rPr>
        <w:t>阳泉市污水处理二期工程PPP项目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rightChars="0"/>
        <w:jc w:val="center"/>
        <w:rPr>
          <w:rFonts w:hint="default" w:ascii="Times New Roman" w:hAnsi="Times New Roman" w:eastAsia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eastAsia="zh-CN"/>
        </w:rPr>
        <w:t>运营期绩效评价报告摘要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/>
        <w:jc w:val="center"/>
        <w:rPr>
          <w:rFonts w:hint="default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</w:rPr>
        <w:t>(202</w:t>
      </w:r>
      <w:r>
        <w:rPr>
          <w:rFonts w:hint="eastAsia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</w:rPr>
        <w:t>年10月</w:t>
      </w:r>
      <w:r>
        <w:rPr>
          <w:rFonts w:hint="eastAsia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简体"/>
          <w:b w:val="0"/>
          <w:bCs/>
          <w:color w:val="333333"/>
          <w:sz w:val="32"/>
          <w:szCs w:val="32"/>
          <w:shd w:val="clear" w:color="auto" w:fill="FFFFFF"/>
        </w:rPr>
        <w:t>年9月)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rightChars="0"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right="0" w:rightChars="0"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阳泉市污水处理厂始建于1998年，于2003年12月正式投入运行，设计规模为8万m³/d。阳泉市污水处理厂经过近12年的运行，一方面污水处理设备损坏、老化严重，部分型号设备已经停止生产，污水处理厂只能采用近似配件进行更换维修，导致设备维修费居高不下，而且存在着电能的浪费。另一方面，随着经济社会的发展，生活污水逐年增多，实际进水已经达到了11万m³/d，远远超过了污水处理厂的设计规模，部分污水未经处理直接溢流至水体，污水处理系统处于超负荷运行状态。为减轻桃河水污染负荷、保护娘子关泉水源水质，优化水资源配置、减轻城市供水压力，改善城市居民生活环境、提高整体生活质量，阳泉市决定启动阳泉市污水处理二期项目。</w:t>
      </w:r>
    </w:p>
    <w:p>
      <w:pPr>
        <w:pStyle w:val="6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项目位于娘白线以南，南川河以东，乱流村附近，占地171.5亩，污水处理规模8万m³/d，预留4万m³/d。污水处理工艺为“A2O＋AO＋混凝过滤深度处理”，结合“无人值守”生化系统精确曝气控制技术、污水源热泵供热制冷技术等高标建设。出水水质执行《城镇污水处理厂污染物排放标准》(GB18918-2002)一级A标准，部分指标达到《地表水环境质量标准》(GB3838-2002)V类标准。服务区域为老城组团中心片区、矿区片区和北部新城片区的南部地区，服务面积58平方公里，服务人口54.9万人。</w:t>
      </w:r>
    </w:p>
    <w:p>
      <w:pPr>
        <w:pStyle w:val="6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left="0" w:right="0" w:rightChars="0" w:firstLine="640" w:firstLineChars="200"/>
        <w:jc w:val="both"/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二、评价结论</w:t>
      </w:r>
    </w:p>
    <w:p>
      <w:pPr>
        <w:pStyle w:val="6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根据阳泉市污水处理二期工程PPP项目运营期绩效评价指标体系评分标准和绩效评价情况，本次运营期绩效评价得分为97.5分，其中：项目产出指标得分为80分，项目效果指标得分为10分，项目管理指标得分为7.5分。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、存在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(一)项目库信息上传不完善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项目库信息上传和信息公开工作还需进一步完善。根据财金〔2021〕110号文，PPP项目信息应当主动公开，执行阶段至少每年更新一次。虽然信息库资料上传由实施机构负责，但项目运营相关的资料均在项目公司，项目公司未主动向实施机构提交相关资料，实施机构也未主动在项目管理库中及时更新项目采购阶段、执行阶段相关信息，导致公开的信息不完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(二)内部管理工作有待加强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阳泉昇阳污水净化有限公司内部管理仍有待加强，主要表现在财务监控有效性不足。项目公司提供了相应的财务监控制度，但未采取相应的财务检查等必要的监控措施或手段。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eastAsia="zh-CN"/>
        </w:rPr>
        <w:t>根据和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沟通，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项目公司内部财务监控手段主要为上级公司的内审，不能及时对财务风险进行有效监控。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）社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公众监督渠道不畅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项目公司与社会公众联系方式单一，沟通渠道不畅，缺乏与社会公众的积极联系，会导致社会公众的意见和建议不能及时采纳，不利于运营服务质量和效率的提高。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四、相关建议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（一）项目库信息及时准确更新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项目公司要与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市城管局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积极联系，主动做好PPP项目管理库信息公开工作，针对项目库中需要进行更新上传的资料，主动向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市城管局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进行报送，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市城管局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也应当及时对项目库信息进行更新，避免对项目造成不利影响。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（二）认真抓好制度落实，切实加强内部管理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right="0" w:rightChars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公司一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应加强项目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运营期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内控管理，加强成本核算管理，采取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必要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财务监控措施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避免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财务风险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保证资金的使用效益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二是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认真贯彻执行各项规章制度和作业流程，设备检修要切实按制度规定，阳泉市污水处理二期PPP项目运营期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建立台账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，认真做好记录，并进行记录归档和开发利用工作。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（三）建立多渠道沟通方式，创造良好的社会公众监督环境</w:t>
      </w:r>
    </w:p>
    <w:p>
      <w:pPr>
        <w:pStyle w:val="6"/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afterAutospacing="0" w:line="560" w:lineRule="exact"/>
        <w:ind w:left="0" w:right="0" w:rightChars="0" w:firstLine="61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项目公司要建立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多种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沟通渠道，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与社会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公众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保持联系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针对污水排放、污泥运输等方面，社会公众可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采取提出意见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及建议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对服务质量进行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交流，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建言献策，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保证项目良好运营。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right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7" w:h="16839"/>
      <w:pgMar w:top="1394" w:right="1768" w:bottom="1151" w:left="1770" w:header="1066" w:footer="99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8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before="24" w:line="30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k2YzkxMzRhNzgzZjZmNzI1ZjVhMjljYzM4NTEzZmEifQ=="/>
  </w:docVars>
  <w:rsids>
    <w:rsidRoot w:val="00000000"/>
    <w:rsid w:val="00281215"/>
    <w:rsid w:val="002B4D1C"/>
    <w:rsid w:val="00AA3F69"/>
    <w:rsid w:val="02A470E7"/>
    <w:rsid w:val="031A24BD"/>
    <w:rsid w:val="037556E5"/>
    <w:rsid w:val="04BB545D"/>
    <w:rsid w:val="050242AD"/>
    <w:rsid w:val="05326241"/>
    <w:rsid w:val="05940E2A"/>
    <w:rsid w:val="05981016"/>
    <w:rsid w:val="059A7058"/>
    <w:rsid w:val="05EE5BAB"/>
    <w:rsid w:val="063F18A3"/>
    <w:rsid w:val="07161640"/>
    <w:rsid w:val="078219B7"/>
    <w:rsid w:val="07FA7D20"/>
    <w:rsid w:val="08887F94"/>
    <w:rsid w:val="08900F6F"/>
    <w:rsid w:val="08DA556E"/>
    <w:rsid w:val="0A085E09"/>
    <w:rsid w:val="0A204DE3"/>
    <w:rsid w:val="0A287DEC"/>
    <w:rsid w:val="0AA20035"/>
    <w:rsid w:val="0ADE61C9"/>
    <w:rsid w:val="0B554854"/>
    <w:rsid w:val="0C601702"/>
    <w:rsid w:val="0CE97D9E"/>
    <w:rsid w:val="0D284AA8"/>
    <w:rsid w:val="0D403A5E"/>
    <w:rsid w:val="0D533465"/>
    <w:rsid w:val="0D9C051F"/>
    <w:rsid w:val="0E846377"/>
    <w:rsid w:val="0F2213E3"/>
    <w:rsid w:val="0FFA00C0"/>
    <w:rsid w:val="10D34B99"/>
    <w:rsid w:val="10FE773C"/>
    <w:rsid w:val="116D5392"/>
    <w:rsid w:val="116F23E8"/>
    <w:rsid w:val="13BB6555"/>
    <w:rsid w:val="15400323"/>
    <w:rsid w:val="15730CBE"/>
    <w:rsid w:val="175016D5"/>
    <w:rsid w:val="175470E6"/>
    <w:rsid w:val="176547B3"/>
    <w:rsid w:val="192F70D4"/>
    <w:rsid w:val="194F4F4F"/>
    <w:rsid w:val="1A7332C3"/>
    <w:rsid w:val="1B250598"/>
    <w:rsid w:val="1CB715E5"/>
    <w:rsid w:val="1DCC309C"/>
    <w:rsid w:val="1DD43CFE"/>
    <w:rsid w:val="1DF72992"/>
    <w:rsid w:val="1E800039"/>
    <w:rsid w:val="1F1D3483"/>
    <w:rsid w:val="205655E0"/>
    <w:rsid w:val="205F1BAA"/>
    <w:rsid w:val="20665C82"/>
    <w:rsid w:val="20924822"/>
    <w:rsid w:val="20D15C1A"/>
    <w:rsid w:val="214C2F66"/>
    <w:rsid w:val="21664294"/>
    <w:rsid w:val="22571F8F"/>
    <w:rsid w:val="228B6957"/>
    <w:rsid w:val="2314042A"/>
    <w:rsid w:val="236F10DF"/>
    <w:rsid w:val="23CD60FA"/>
    <w:rsid w:val="23DE3975"/>
    <w:rsid w:val="247316C9"/>
    <w:rsid w:val="247A68D0"/>
    <w:rsid w:val="248B3771"/>
    <w:rsid w:val="25C04169"/>
    <w:rsid w:val="25D07D3F"/>
    <w:rsid w:val="26155688"/>
    <w:rsid w:val="26D85457"/>
    <w:rsid w:val="281D6811"/>
    <w:rsid w:val="291A2C1F"/>
    <w:rsid w:val="293B16DE"/>
    <w:rsid w:val="2A563AE3"/>
    <w:rsid w:val="2B6F4CF1"/>
    <w:rsid w:val="2BD53927"/>
    <w:rsid w:val="2CB848CC"/>
    <w:rsid w:val="2D020AE2"/>
    <w:rsid w:val="2EFE6E2D"/>
    <w:rsid w:val="309D2676"/>
    <w:rsid w:val="309E19D2"/>
    <w:rsid w:val="316513E5"/>
    <w:rsid w:val="321E2EC2"/>
    <w:rsid w:val="32625768"/>
    <w:rsid w:val="33F27AC3"/>
    <w:rsid w:val="35377493"/>
    <w:rsid w:val="35827561"/>
    <w:rsid w:val="36351E2A"/>
    <w:rsid w:val="36623937"/>
    <w:rsid w:val="37962FFE"/>
    <w:rsid w:val="37B06978"/>
    <w:rsid w:val="37D1473E"/>
    <w:rsid w:val="383946D8"/>
    <w:rsid w:val="384906DF"/>
    <w:rsid w:val="387A1551"/>
    <w:rsid w:val="3A2F1FC3"/>
    <w:rsid w:val="3B095EEE"/>
    <w:rsid w:val="3B255741"/>
    <w:rsid w:val="3CEA4D78"/>
    <w:rsid w:val="3DC079A3"/>
    <w:rsid w:val="3E15587D"/>
    <w:rsid w:val="3EC534C3"/>
    <w:rsid w:val="3F125FDD"/>
    <w:rsid w:val="3F442F49"/>
    <w:rsid w:val="40464190"/>
    <w:rsid w:val="405C70DD"/>
    <w:rsid w:val="40600B1F"/>
    <w:rsid w:val="411E2F8A"/>
    <w:rsid w:val="41294B1F"/>
    <w:rsid w:val="41AC5678"/>
    <w:rsid w:val="420045D4"/>
    <w:rsid w:val="42293BE7"/>
    <w:rsid w:val="423B3A9C"/>
    <w:rsid w:val="429038F8"/>
    <w:rsid w:val="436D15AE"/>
    <w:rsid w:val="44B2466B"/>
    <w:rsid w:val="45832977"/>
    <w:rsid w:val="46652B02"/>
    <w:rsid w:val="48290B93"/>
    <w:rsid w:val="493F7784"/>
    <w:rsid w:val="498B486F"/>
    <w:rsid w:val="4A340025"/>
    <w:rsid w:val="4C031539"/>
    <w:rsid w:val="4CF5766A"/>
    <w:rsid w:val="4D367032"/>
    <w:rsid w:val="4DB316D4"/>
    <w:rsid w:val="4DC312CF"/>
    <w:rsid w:val="4F1F277C"/>
    <w:rsid w:val="507F43D6"/>
    <w:rsid w:val="50977575"/>
    <w:rsid w:val="527E0828"/>
    <w:rsid w:val="531A696C"/>
    <w:rsid w:val="53715570"/>
    <w:rsid w:val="538D15B1"/>
    <w:rsid w:val="54524B1A"/>
    <w:rsid w:val="54C76A18"/>
    <w:rsid w:val="558F05BF"/>
    <w:rsid w:val="55D43B94"/>
    <w:rsid w:val="564F32FC"/>
    <w:rsid w:val="581D7FE3"/>
    <w:rsid w:val="58FD5BE8"/>
    <w:rsid w:val="5A2C7908"/>
    <w:rsid w:val="5A592B35"/>
    <w:rsid w:val="5AAF4115"/>
    <w:rsid w:val="5AC643F3"/>
    <w:rsid w:val="5AC73CC7"/>
    <w:rsid w:val="5B7B0F25"/>
    <w:rsid w:val="5C163726"/>
    <w:rsid w:val="5C546444"/>
    <w:rsid w:val="5D9C73F0"/>
    <w:rsid w:val="5DE67ADD"/>
    <w:rsid w:val="5E2A02A7"/>
    <w:rsid w:val="60250735"/>
    <w:rsid w:val="607A0C34"/>
    <w:rsid w:val="61EC7264"/>
    <w:rsid w:val="62546789"/>
    <w:rsid w:val="62C679AA"/>
    <w:rsid w:val="62F6339C"/>
    <w:rsid w:val="636E051C"/>
    <w:rsid w:val="64FC16CD"/>
    <w:rsid w:val="65D4764E"/>
    <w:rsid w:val="661C6EBD"/>
    <w:rsid w:val="66215C94"/>
    <w:rsid w:val="66996E60"/>
    <w:rsid w:val="670E625E"/>
    <w:rsid w:val="67C17E0E"/>
    <w:rsid w:val="690031C6"/>
    <w:rsid w:val="695232F6"/>
    <w:rsid w:val="6B3B04E6"/>
    <w:rsid w:val="6B935B20"/>
    <w:rsid w:val="6BAE0F38"/>
    <w:rsid w:val="6BB4368B"/>
    <w:rsid w:val="6BBA3D96"/>
    <w:rsid w:val="6C6F2CF0"/>
    <w:rsid w:val="6CF7043C"/>
    <w:rsid w:val="6EE15EDA"/>
    <w:rsid w:val="703A6FBE"/>
    <w:rsid w:val="70774D92"/>
    <w:rsid w:val="711500A0"/>
    <w:rsid w:val="711D31CB"/>
    <w:rsid w:val="71AE13FF"/>
    <w:rsid w:val="727C7362"/>
    <w:rsid w:val="735055F6"/>
    <w:rsid w:val="755F5A3E"/>
    <w:rsid w:val="75670E97"/>
    <w:rsid w:val="76AE24B4"/>
    <w:rsid w:val="76E6BE01"/>
    <w:rsid w:val="77071BC4"/>
    <w:rsid w:val="7711659E"/>
    <w:rsid w:val="7AB80DF3"/>
    <w:rsid w:val="7ACE5917"/>
    <w:rsid w:val="7BBF67A7"/>
    <w:rsid w:val="7BD80369"/>
    <w:rsid w:val="7BDA3403"/>
    <w:rsid w:val="7C8C0827"/>
    <w:rsid w:val="7CBB4A8E"/>
    <w:rsid w:val="7DBD4D8A"/>
    <w:rsid w:val="7EAF790E"/>
    <w:rsid w:val="7F1C7CD6"/>
    <w:rsid w:val="7F343772"/>
    <w:rsid w:val="7F376DBE"/>
    <w:rsid w:val="7F3F4592"/>
    <w:rsid w:val="7FA25D82"/>
    <w:rsid w:val="7FCB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9"/>
      <w:ind w:left="141"/>
    </w:pPr>
    <w:rPr>
      <w:rFonts w:ascii="仿宋" w:hAnsi="仿宋" w:eastAsia="仿宋"/>
      <w:sz w:val="27"/>
      <w:szCs w:val="2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No Spacing"/>
    <w:qFormat/>
    <w:uiPriority w:val="1"/>
    <w:pPr>
      <w:widowControl w:val="0"/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22001</Words>
  <Characters>23624</Characters>
  <TotalTime>42</TotalTime>
  <ScaleCrop>false</ScaleCrop>
  <LinksUpToDate>false</LinksUpToDate>
  <CharactersWithSpaces>23792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2022-01-20T18:22:00Z</dcterms:created>
  <dc:creator>lsy</dc:creator>
  <cp:lastModifiedBy>Administrator</cp:lastModifiedBy>
  <dcterms:modified xsi:type="dcterms:W3CDTF">2023-01-10T02:40:09Z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2022-11-17T11:44:07Z</vt:filetime>
  </property>
  <property fmtid="{D5CDD505-2E9C-101B-9397-08002B2CF9AE}" pid="4" name="KSOProductBuildVer">
    <vt:lpwstr>2052-11.1.0.11045</vt:lpwstr>
  </property>
  <property fmtid="{D5CDD505-2E9C-101B-9397-08002B2CF9AE}" pid="5" name="ICV">
    <vt:lpwstr>D2F45D3397884F2D86F84519D846AF6F</vt:lpwstr>
  </property>
</Properties>
</file>