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Toc521915544"/>
      <w:bookmarkStart w:id="1" w:name="_Toc521915716"/>
      <w:bookmarkStart w:id="2" w:name="_Toc521915631"/>
      <w:bookmarkStart w:id="3" w:name="_Toc518716993"/>
      <w:r>
        <w:rPr>
          <w:rFonts w:hint="eastAsia" w:ascii="方正小标宋简体" w:hAnsi="方正小标宋简体" w:eastAsia="方正小标宋简体" w:cs="方正小标宋简体"/>
          <w:sz w:val="44"/>
          <w:szCs w:val="44"/>
        </w:rPr>
        <w:t>阳泉市</w:t>
      </w:r>
      <w:r>
        <w:rPr>
          <w:rFonts w:hint="eastAsia" w:ascii="方正小标宋简体" w:hAnsi="方正小标宋简体" w:eastAsia="方正小标宋简体" w:cs="方正小标宋简体"/>
          <w:sz w:val="44"/>
          <w:szCs w:val="44"/>
          <w:lang w:eastAsia="zh-CN"/>
        </w:rPr>
        <w:t>人力资源和社会保障局2021</w:t>
      </w:r>
      <w:r>
        <w:rPr>
          <w:rFonts w:hint="eastAsia" w:ascii="方正小标宋简体" w:hAnsi="方正小标宋简体" w:eastAsia="方正小标宋简体" w:cs="方正小标宋简体"/>
          <w:sz w:val="44"/>
          <w:szCs w:val="44"/>
        </w:rPr>
        <w:t>年度部门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4" w:name="_Toc80957595"/>
      <w:bookmarkStart w:id="5" w:name="_Toc10078"/>
      <w:r>
        <w:rPr>
          <w:rFonts w:hint="eastAsia" w:ascii="方正小标宋简体" w:hAnsi="方正小标宋简体" w:eastAsia="方正小标宋简体" w:cs="方正小标宋简体"/>
          <w:sz w:val="44"/>
          <w:szCs w:val="44"/>
        </w:rPr>
        <w:t>整体支出</w:t>
      </w:r>
      <w:bookmarkStart w:id="6" w:name="_Toc51055675"/>
      <w:r>
        <w:rPr>
          <w:rFonts w:hint="eastAsia" w:ascii="方正小标宋简体" w:hAnsi="方正小标宋简体" w:eastAsia="方正小标宋简体" w:cs="方正小标宋简体"/>
          <w:sz w:val="44"/>
          <w:szCs w:val="44"/>
        </w:rPr>
        <w:t>绩效评价报告摘要</w:t>
      </w:r>
      <w:bookmarkEnd w:id="0"/>
      <w:bookmarkEnd w:id="1"/>
      <w:bookmarkEnd w:id="2"/>
      <w:bookmarkEnd w:id="3"/>
      <w:bookmarkEnd w:id="4"/>
      <w:bookmarkEnd w:id="5"/>
      <w:bookmarkEnd w:id="6"/>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仿宋_GB2312" w:hAnsi="仿宋_GB2312" w:eastAsia="仿宋_GB2312" w:cs="仿宋_GB2312"/>
          <w:sz w:val="32"/>
          <w:szCs w:val="28"/>
        </w:rPr>
      </w:pPr>
      <w:r>
        <w:rPr>
          <w:rFonts w:hint="eastAsia" w:ascii="仿宋_GB2312" w:hAnsi="仿宋_GB2312" w:eastAsia="仿宋_GB2312" w:cs="仿宋_GB2312"/>
          <w:snapToGrid w:val="0"/>
          <w:sz w:val="32"/>
          <w:szCs w:val="32"/>
        </w:rPr>
        <w:t>为深入贯彻落实《中共阳泉市委 阳泉市人民政府关于全面实施预算绩效管理的实施办法》（阳发〔2019〕19号）</w:t>
      </w:r>
      <w:r>
        <w:rPr>
          <w:rFonts w:hint="eastAsia" w:ascii="仿宋_GB2312" w:hAnsi="仿宋_GB2312" w:eastAsia="仿宋_GB2312" w:cs="仿宋_GB2312"/>
          <w:sz w:val="32"/>
          <w:szCs w:val="28"/>
        </w:rPr>
        <w:t>，</w:t>
      </w:r>
      <w:r>
        <w:rPr>
          <w:rFonts w:hint="eastAsia" w:ascii="仿宋_GB2312" w:hAnsi="仿宋_GB2312" w:eastAsia="仿宋_GB2312" w:cs="仿宋_GB2312"/>
          <w:snapToGrid w:val="0"/>
          <w:sz w:val="32"/>
          <w:szCs w:val="32"/>
        </w:rPr>
        <w:t>根据</w:t>
      </w:r>
      <w:r>
        <w:rPr>
          <w:rFonts w:hint="eastAsia" w:ascii="仿宋_GB2312" w:hAnsi="仿宋_GB2312" w:eastAsia="仿宋_GB2312" w:cs="仿宋_GB2312"/>
          <w:sz w:val="32"/>
          <w:szCs w:val="28"/>
        </w:rPr>
        <w:t>《阳泉市财政局关于开展202</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年度重点绩效评价工作的通知》（阳财绩〔202</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〕6号）要求，阳泉市财政局委托山西中凯资产评估有限公司对阳泉市</w:t>
      </w:r>
      <w:r>
        <w:rPr>
          <w:rFonts w:hint="eastAsia" w:ascii="仿宋_GB2312" w:hAnsi="仿宋_GB2312" w:eastAsia="仿宋_GB2312" w:cs="仿宋_GB2312"/>
          <w:sz w:val="32"/>
          <w:szCs w:val="28"/>
          <w:lang w:eastAsia="zh-CN"/>
        </w:rPr>
        <w:t>人力资源和社会保障局2021</w:t>
      </w:r>
      <w:r>
        <w:rPr>
          <w:rFonts w:hint="eastAsia" w:ascii="仿宋_GB2312" w:hAnsi="仿宋_GB2312" w:eastAsia="仿宋_GB2312" w:cs="仿宋_GB2312"/>
          <w:sz w:val="32"/>
          <w:szCs w:val="28"/>
        </w:rPr>
        <w:t>年度部门整体支出（以下简称</w:t>
      </w:r>
      <w:r>
        <w:rPr>
          <w:rFonts w:hint="eastAsia" w:ascii="仿宋_GB2312" w:hAnsi="仿宋_GB2312" w:eastAsia="仿宋_GB2312" w:cs="仿宋_GB2312"/>
          <w:sz w:val="32"/>
          <w:szCs w:val="28"/>
          <w:lang w:eastAsia="zh-CN"/>
        </w:rPr>
        <w:t>“人社局”</w:t>
      </w:r>
      <w:r>
        <w:rPr>
          <w:rFonts w:hint="eastAsia" w:ascii="仿宋_GB2312" w:hAnsi="仿宋_GB2312" w:eastAsia="仿宋_GB2312" w:cs="仿宋_GB2312"/>
          <w:sz w:val="32"/>
          <w:szCs w:val="28"/>
        </w:rPr>
        <w:t>）38,148.63万元开展</w:t>
      </w:r>
      <w:r>
        <w:rPr>
          <w:rFonts w:hint="eastAsia" w:ascii="仿宋_GB2312" w:hAnsi="仿宋_GB2312" w:eastAsia="仿宋_GB2312" w:cs="仿宋_GB2312"/>
          <w:sz w:val="32"/>
          <w:szCs w:val="28"/>
          <w:lang w:val="en-US" w:eastAsia="zh-CN"/>
        </w:rPr>
        <w:t>了</w:t>
      </w:r>
      <w:r>
        <w:rPr>
          <w:rFonts w:hint="eastAsia" w:ascii="仿宋_GB2312" w:hAnsi="仿宋_GB2312" w:eastAsia="仿宋_GB2312" w:cs="仿宋_GB2312"/>
          <w:sz w:val="32"/>
          <w:szCs w:val="28"/>
        </w:rPr>
        <w:t>绩效评价。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一、部门概况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泉市人力资源和社会保障局贯彻落实党中央和省委、市委关于人力资源和社会保障工作的方针政策和决策部署，在履行职责过程中坚持和加强党对人力资源和社会保障工作的集中统一领导。设机关党委办公室、劳动关系与监察科(农民工工作科)、社保基金监督科、人力资源市场科、工伤认定和劳动能力鉴定科、信访调解仲裁科、就业促进科、职业能力建设科、事业单位管理科、工资福利科、社会保险科、专业技术人员管理科、办公室、人事科、政策法规科15个内设机构。局属单位7个，其中公益一类事业单位5个：阳泉市劳动保障监察综合行政执法队、阳泉市社会保障网络管理中心、阳泉市公共就业和人才服务中心、阳泉市人事考试中心、阳泉市社会保险中心；公益二类事业单位2个</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阳泉市职业技能评价服务中心、阳泉市创业服务中心。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 w:hAnsi="楷体" w:eastAsia="楷体" w:cs="楷体"/>
          <w:snapToGrid w:val="0"/>
          <w:sz w:val="32"/>
          <w:szCs w:val="32"/>
        </w:rPr>
      </w:pPr>
      <w:r>
        <w:rPr>
          <w:rFonts w:hint="eastAsia" w:ascii="楷体" w:hAnsi="楷体" w:eastAsia="楷体" w:cs="楷体"/>
          <w:snapToGrid w:val="0"/>
          <w:sz w:val="32"/>
          <w:szCs w:val="32"/>
        </w:rPr>
        <w:t>（二）部门目标</w:t>
      </w:r>
    </w:p>
    <w:p>
      <w:pPr>
        <w:keepNext w:val="0"/>
        <w:keepLines w:val="0"/>
        <w:pageBreakBefore w:val="0"/>
        <w:widowControl w:val="0"/>
        <w:tabs>
          <w:tab w:val="left" w:pos="4200"/>
        </w:tabs>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.中长期目标</w:t>
      </w:r>
    </w:p>
    <w:p>
      <w:pPr>
        <w:keepNext w:val="0"/>
        <w:keepLines w:val="0"/>
        <w:pageBreakBefore w:val="0"/>
        <w:widowControl w:val="0"/>
        <w:tabs>
          <w:tab w:val="left" w:pos="4200"/>
        </w:tabs>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根据《阳泉市“十四五”人力资源和社会保障事业发展规划》总体要求梳理出市人社局的中长期绩效目标如下：</w:t>
      </w:r>
    </w:p>
    <w:p>
      <w:pPr>
        <w:keepNext w:val="0"/>
        <w:keepLines w:val="0"/>
        <w:pageBreakBefore w:val="0"/>
        <w:widowControl w:val="0"/>
        <w:numPr>
          <w:ilvl w:val="0"/>
          <w:numId w:val="0"/>
        </w:numPr>
        <w:tabs>
          <w:tab w:val="left" w:pos="4200"/>
        </w:tabs>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（1）就业稳定性进一步增强。城镇居民人均可支配收入年均增长不低于8%；实现城镇新增就业9万人以上，城镇登记失业率、调查失业率分别控制在4.5%、5.5%以内；</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（2）人力资源素质显著提升。完成职业培训10万人次；从业人员持证率达到50%以上，中高级持证技能人才达到80%；</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（3）社会保障体制机制更加完善。到2025年，城镇职工基本养老保险参保人数达到41万人，城乡居民基本养老保险参保人数达到45万人，失业保险参保人数达到27万人，工伤保险参保人数达到28万人；</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（4）劳动关系保持和谐稳定。</w:t>
      </w:r>
      <w:r>
        <w:rPr>
          <w:rFonts w:hint="eastAsia" w:ascii="仿宋_GB2312" w:hAnsi="仿宋_GB2312" w:eastAsia="仿宋_GB2312" w:cs="仿宋_GB2312"/>
          <w:b w:val="0"/>
          <w:bCs w:val="0"/>
          <w:color w:val="000000"/>
          <w:kern w:val="2"/>
          <w:sz w:val="32"/>
          <w:szCs w:val="32"/>
          <w:lang w:val="en-US" w:eastAsia="zh-CN" w:bidi="ar-SA"/>
        </w:rPr>
        <w:t>劳动人事争议仲裁结案率、调解成功率分别达到90%和60%以上，劳动保障监察投诉举报结案率达到100%；</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5）公共服务供给水平稳步提高。社会保障卡实现发行应用全覆盖，“互联网+人社”智慧服务能力显著提高，公共服务事项实现全程网上办理和网上监督，广大人民群众享有基本公共服务的可及性显著增强；社会保障卡持卡人口覆盖率达98%，申领电子社保卡人口覆盖率达70%。</w:t>
      </w:r>
    </w:p>
    <w:p>
      <w:pPr>
        <w:keepNext w:val="0"/>
        <w:keepLines w:val="0"/>
        <w:pageBreakBefore w:val="0"/>
        <w:widowControl w:val="0"/>
        <w:tabs>
          <w:tab w:val="left" w:pos="4200"/>
        </w:tabs>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年度</w:t>
      </w:r>
      <w:r>
        <w:rPr>
          <w:rFonts w:hint="eastAsia" w:ascii="仿宋_GB2312" w:hAnsi="仿宋_GB2312" w:eastAsia="仿宋_GB2312" w:cs="仿宋_GB2312"/>
          <w:b/>
          <w:bCs/>
          <w:sz w:val="32"/>
          <w:szCs w:val="32"/>
        </w:rPr>
        <w:t>总目标</w:t>
      </w:r>
    </w:p>
    <w:p>
      <w:pPr>
        <w:keepNext w:val="0"/>
        <w:keepLines w:val="0"/>
        <w:pageBreakBefore w:val="0"/>
        <w:widowControl w:val="0"/>
        <w:tabs>
          <w:tab w:val="left" w:pos="4200"/>
        </w:tabs>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职责及省人社局工作部署，梳理出市人社局绩效总体目标为：夯实民生之本，发展人力资源和社会保障事业、加强和提升基层公共服务能力，确保就业局势总体稳定，推进技能社会提质增效，完善全民社会保障体系，稳步提高居民收入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实现劳动关系和谐同行，落实便民之举，人社服务效能稳步提升，切实解决好为民服务“最后一公里”问题。</w:t>
      </w:r>
    </w:p>
    <w:p>
      <w:pPr>
        <w:keepNext w:val="0"/>
        <w:keepLines w:val="0"/>
        <w:pageBreakBefore w:val="0"/>
        <w:widowControl w:val="0"/>
        <w:tabs>
          <w:tab w:val="left" w:pos="4200"/>
        </w:tabs>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3.年度绩效目标</w:t>
      </w:r>
    </w:p>
    <w:p>
      <w:pPr>
        <w:pStyle w:val="66"/>
        <w:keepNext w:val="0"/>
        <w:keepLines w:val="0"/>
        <w:pageBreakBefore w:val="0"/>
        <w:widowControl w:val="0"/>
        <w:tabs>
          <w:tab w:val="left" w:pos="993"/>
        </w:tabs>
        <w:kinsoku/>
        <w:wordWrap/>
        <w:overflowPunct/>
        <w:topLinePunct w:val="0"/>
        <w:autoSpaceDE/>
        <w:autoSpaceDN/>
        <w:bidi w:val="0"/>
        <w:snapToGrid/>
        <w:spacing w:line="560" w:lineRule="exact"/>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根据阳泉市</w:t>
      </w:r>
      <w:r>
        <w:rPr>
          <w:rFonts w:hint="eastAsia" w:ascii="仿宋_GB2312" w:hAnsi="仿宋_GB2312" w:eastAsia="仿宋_GB2312" w:cs="仿宋_GB2312"/>
          <w:sz w:val="32"/>
          <w:szCs w:val="32"/>
          <w:lang w:val="en-US" w:eastAsia="zh-CN"/>
        </w:rPr>
        <w:t>人社局部门职能，省、市下达目标任务及年度工作计划等，</w:t>
      </w:r>
      <w:r>
        <w:rPr>
          <w:rFonts w:hint="eastAsia" w:ascii="仿宋_GB2312" w:hAnsi="仿宋_GB2312" w:eastAsia="仿宋_GB2312" w:cs="仿宋_GB2312"/>
          <w:sz w:val="32"/>
          <w:szCs w:val="32"/>
        </w:rPr>
        <w:t>梳理出年度绩效目标详见表1：</w:t>
      </w:r>
    </w:p>
    <w:p>
      <w:pPr>
        <w:pStyle w:val="66"/>
        <w:keepNext w:val="0"/>
        <w:keepLines w:val="0"/>
        <w:pageBreakBefore w:val="0"/>
        <w:widowControl w:val="0"/>
        <w:tabs>
          <w:tab w:val="left" w:pos="993"/>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sz w:val="28"/>
          <w:szCs w:val="28"/>
          <w:lang w:val="en-US" w:eastAsia="zh-CN"/>
        </w:rPr>
        <w:t xml:space="preserve">表1 </w:t>
      </w:r>
      <w:r>
        <w:rPr>
          <w:rFonts w:hint="eastAsia" w:ascii="Times New Roman" w:hAnsi="Times New Roman" w:eastAsia="黑体" w:cs="黑体"/>
          <w:sz w:val="28"/>
          <w:szCs w:val="28"/>
        </w:rPr>
        <w:t>年度绩效目标</w:t>
      </w:r>
      <w:r>
        <w:rPr>
          <w:rFonts w:hint="eastAsia" w:ascii="Times New Roman" w:hAnsi="Times New Roman" w:eastAsia="黑体" w:cs="黑体"/>
          <w:sz w:val="28"/>
          <w:szCs w:val="28"/>
          <w:lang w:val="en-US" w:eastAsia="zh-CN"/>
        </w:rPr>
        <w:t>表</w:t>
      </w:r>
    </w:p>
    <w:tbl>
      <w:tblPr>
        <w:tblStyle w:val="33"/>
        <w:tblW w:w="887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83"/>
        <w:gridCol w:w="1896"/>
        <w:gridCol w:w="3225"/>
        <w:gridCol w:w="206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1" w:hRule="atLeast"/>
          <w:tblHeader/>
        </w:trPr>
        <w:tc>
          <w:tcPr>
            <w:tcW w:w="1683" w:type="dxa"/>
            <w:tcBorders>
              <w:tl2br w:val="nil"/>
              <w:tr2bl w:val="nil"/>
            </w:tcBorders>
            <w:shd w:val="clear" w:color="auto" w:fill="A4A4A4" w:themeFill="background1" w:themeFillShade="A5"/>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color w:val="000000"/>
                <w:sz w:val="20"/>
                <w:szCs w:val="28"/>
                <w:u w:val="none"/>
              </w:rPr>
            </w:pPr>
            <w:r>
              <w:rPr>
                <w:rFonts w:hint="eastAsia" w:ascii="Times New Roman" w:hAnsi="Times New Roman" w:eastAsia="宋体" w:cs="宋体"/>
                <w:b/>
                <w:bCs/>
                <w:i w:val="0"/>
                <w:color w:val="000000"/>
                <w:kern w:val="0"/>
                <w:sz w:val="20"/>
                <w:szCs w:val="28"/>
                <w:u w:val="none"/>
                <w:lang w:val="en-US" w:eastAsia="zh-CN" w:bidi="ar"/>
              </w:rPr>
              <w:t>一级指标</w:t>
            </w:r>
          </w:p>
        </w:tc>
        <w:tc>
          <w:tcPr>
            <w:tcW w:w="1896" w:type="dxa"/>
            <w:tcBorders>
              <w:tl2br w:val="nil"/>
              <w:tr2bl w:val="nil"/>
            </w:tcBorders>
            <w:shd w:val="clear" w:color="auto" w:fill="A4A4A4" w:themeFill="background1" w:themeFillShade="A5"/>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color w:val="000000"/>
                <w:sz w:val="20"/>
                <w:szCs w:val="28"/>
                <w:u w:val="none"/>
              </w:rPr>
            </w:pPr>
            <w:r>
              <w:rPr>
                <w:rFonts w:hint="eastAsia" w:ascii="Times New Roman" w:hAnsi="Times New Roman" w:eastAsia="宋体" w:cs="宋体"/>
                <w:b/>
                <w:bCs/>
                <w:i w:val="0"/>
                <w:color w:val="000000"/>
                <w:kern w:val="0"/>
                <w:sz w:val="20"/>
                <w:szCs w:val="28"/>
                <w:u w:val="none"/>
                <w:lang w:val="en-US" w:eastAsia="zh-CN" w:bidi="ar"/>
              </w:rPr>
              <w:t>二级指标</w:t>
            </w:r>
          </w:p>
        </w:tc>
        <w:tc>
          <w:tcPr>
            <w:tcW w:w="3225" w:type="dxa"/>
            <w:tcBorders>
              <w:tl2br w:val="nil"/>
              <w:tr2bl w:val="nil"/>
            </w:tcBorders>
            <w:shd w:val="clear" w:color="auto" w:fill="A4A4A4" w:themeFill="background1" w:themeFillShade="A5"/>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color w:val="000000"/>
                <w:sz w:val="20"/>
                <w:szCs w:val="28"/>
                <w:u w:val="none"/>
              </w:rPr>
            </w:pPr>
            <w:r>
              <w:rPr>
                <w:rFonts w:hint="eastAsia" w:ascii="Times New Roman" w:hAnsi="Times New Roman" w:eastAsia="宋体" w:cs="宋体"/>
                <w:b/>
                <w:bCs/>
                <w:i w:val="0"/>
                <w:color w:val="000000"/>
                <w:kern w:val="0"/>
                <w:sz w:val="20"/>
                <w:szCs w:val="28"/>
                <w:u w:val="none"/>
                <w:lang w:val="en-US" w:eastAsia="zh-CN" w:bidi="ar"/>
              </w:rPr>
              <w:t>三级指标</w:t>
            </w:r>
          </w:p>
        </w:tc>
        <w:tc>
          <w:tcPr>
            <w:tcW w:w="2067" w:type="dxa"/>
            <w:tcBorders>
              <w:tl2br w:val="nil"/>
              <w:tr2bl w:val="nil"/>
            </w:tcBorders>
            <w:shd w:val="clear" w:color="auto" w:fill="A4A4A4" w:themeFill="background1" w:themeFillShade="A5"/>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color w:val="000000"/>
                <w:sz w:val="20"/>
                <w:szCs w:val="28"/>
                <w:u w:val="none"/>
              </w:rPr>
            </w:pPr>
            <w:r>
              <w:rPr>
                <w:rFonts w:hint="eastAsia" w:ascii="Times New Roman" w:hAnsi="Times New Roman" w:eastAsia="宋体" w:cs="宋体"/>
                <w:b/>
                <w:bCs/>
                <w:i w:val="0"/>
                <w:color w:val="000000"/>
                <w:kern w:val="0"/>
                <w:sz w:val="20"/>
                <w:szCs w:val="28"/>
                <w:u w:val="none"/>
                <w:lang w:val="en-US" w:eastAsia="zh-CN" w:bidi="ar"/>
              </w:rPr>
              <w:t>指标值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1683"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履职效能</w:t>
            </w: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工作目标</w:t>
            </w: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目标任务设定情况</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仿宋_GB2312"/>
                <w:i w:val="0"/>
                <w:color w:val="000000"/>
                <w:sz w:val="20"/>
                <w:szCs w:val="24"/>
                <w:u w:val="none"/>
                <w:lang w:val="en-US" w:eastAsia="zh-CN"/>
              </w:rPr>
            </w:pPr>
            <w:r>
              <w:rPr>
                <w:rFonts w:hint="eastAsia" w:ascii="Times New Roman" w:hAnsi="Times New Roman" w:cs="仿宋_GB2312"/>
                <w:i w:val="0"/>
                <w:color w:val="000000"/>
                <w:sz w:val="20"/>
                <w:szCs w:val="24"/>
                <w:u w:val="none"/>
                <w:lang w:val="en-US" w:eastAsia="zh-CN"/>
              </w:rPr>
              <w:t>设定科学合理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宋体"/>
                <w:i w:val="0"/>
                <w:color w:val="000000"/>
                <w:sz w:val="20"/>
                <w:szCs w:val="28"/>
                <w:u w:val="none"/>
                <w:lang w:val="en-US" w:eastAsia="zh-CN"/>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目标任务完成率</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仿宋_GB2312"/>
                <w:i w:val="0"/>
                <w:color w:val="000000"/>
                <w:sz w:val="20"/>
                <w:szCs w:val="24"/>
                <w:u w:val="none"/>
                <w:lang w:val="en-US" w:eastAsia="zh-CN"/>
              </w:rPr>
            </w:pPr>
            <w:r>
              <w:rPr>
                <w:rFonts w:hint="eastAsia" w:ascii="Times New Roman" w:hAnsi="Times New Roman" w:cs="仿宋_GB2312"/>
                <w:i w:val="0"/>
                <w:color w:val="000000"/>
                <w:sz w:val="20"/>
                <w:szCs w:val="24"/>
                <w:u w:val="none"/>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核心业务</w:t>
            </w: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就业保障水平</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仿宋_GB2312"/>
                <w:i w:val="0"/>
                <w:color w:val="000000"/>
                <w:sz w:val="20"/>
                <w:szCs w:val="24"/>
                <w:u w:val="none"/>
                <w:lang w:val="en-US" w:eastAsia="zh-CN"/>
              </w:rPr>
            </w:pPr>
            <w:r>
              <w:rPr>
                <w:rFonts w:hint="eastAsia" w:ascii="Times New Roman" w:hAnsi="Times New Roman" w:cs="仿宋_GB2312"/>
                <w:i w:val="0"/>
                <w:color w:val="000000"/>
                <w:sz w:val="20"/>
                <w:szCs w:val="24"/>
                <w:u w:val="none"/>
                <w:lang w:val="en-US" w:eastAsia="zh-CN"/>
              </w:rPr>
              <w:t>全省排名靠前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社会保险保障水平</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i w:val="0"/>
                <w:color w:val="000000"/>
                <w:sz w:val="20"/>
                <w:szCs w:val="24"/>
                <w:u w:val="none"/>
              </w:rPr>
            </w:pPr>
            <w:r>
              <w:rPr>
                <w:rFonts w:hint="eastAsia" w:ascii="Times New Roman" w:hAnsi="Times New Roman" w:cs="仿宋_GB2312"/>
                <w:i w:val="0"/>
                <w:color w:val="000000"/>
                <w:sz w:val="20"/>
                <w:szCs w:val="24"/>
                <w:u w:val="none"/>
                <w:lang w:val="en-US" w:eastAsia="zh-CN"/>
              </w:rPr>
              <w:t>全省排名靠前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2"/>
                <w:u w:val="none"/>
              </w:rPr>
            </w:pP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人才管理水平</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i w:val="0"/>
                <w:color w:val="000000"/>
                <w:sz w:val="20"/>
                <w:szCs w:val="24"/>
                <w:u w:val="none"/>
              </w:rPr>
            </w:pPr>
            <w:r>
              <w:rPr>
                <w:rFonts w:hint="eastAsia" w:ascii="Times New Roman" w:hAnsi="Times New Roman" w:cs="仿宋_GB2312"/>
                <w:i w:val="0"/>
                <w:color w:val="000000"/>
                <w:sz w:val="20"/>
                <w:szCs w:val="24"/>
                <w:u w:val="none"/>
                <w:lang w:val="en-US" w:eastAsia="zh-CN"/>
              </w:rPr>
              <w:t>全省排名靠前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劳动关系维护能力</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i w:val="0"/>
                <w:color w:val="000000"/>
                <w:sz w:val="20"/>
                <w:szCs w:val="24"/>
                <w:u w:val="none"/>
              </w:rPr>
            </w:pPr>
            <w:r>
              <w:rPr>
                <w:rFonts w:hint="eastAsia" w:ascii="Times New Roman" w:hAnsi="Times New Roman" w:cs="仿宋_GB2312"/>
                <w:i w:val="0"/>
                <w:color w:val="000000"/>
                <w:sz w:val="20"/>
                <w:szCs w:val="24"/>
                <w:u w:val="none"/>
                <w:lang w:val="en-US" w:eastAsia="zh-CN"/>
              </w:rPr>
              <w:t>全省排名靠前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宋体"/>
                <w:i w:val="0"/>
                <w:color w:val="000000"/>
                <w:sz w:val="20"/>
                <w:szCs w:val="22"/>
                <w:u w:val="none"/>
                <w:lang w:val="en-US" w:eastAsia="zh-CN"/>
              </w:rPr>
            </w:pPr>
            <w:r>
              <w:rPr>
                <w:rFonts w:hint="eastAsia" w:ascii="Times New Roman" w:hAnsi="Times New Roman" w:cs="宋体"/>
                <w:i w:val="0"/>
                <w:color w:val="000000"/>
                <w:sz w:val="20"/>
                <w:szCs w:val="22"/>
                <w:u w:val="none"/>
                <w:lang w:val="en-US" w:eastAsia="zh-CN"/>
              </w:rPr>
              <w:t>基础管理</w:t>
            </w: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依法行政工作</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i w:val="0"/>
                <w:color w:val="000000"/>
                <w:sz w:val="20"/>
                <w:szCs w:val="24"/>
                <w:u w:val="none"/>
                <w:lang w:val="en-US" w:eastAsia="zh-CN"/>
              </w:rPr>
            </w:pPr>
            <w:r>
              <w:rPr>
                <w:rFonts w:hint="eastAsia" w:ascii="Times New Roman" w:hAnsi="Times New Roman" w:cs="仿宋_GB2312"/>
                <w:i w:val="0"/>
                <w:color w:val="000000"/>
                <w:sz w:val="20"/>
                <w:szCs w:val="24"/>
                <w:u w:val="none"/>
                <w:lang w:val="en-US" w:eastAsia="zh-CN"/>
              </w:rPr>
              <w:t>依法行政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基础能力建设</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基础能力稳固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管理效率</w:t>
            </w: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预算管理</w:t>
            </w:r>
          </w:p>
        </w:tc>
        <w:tc>
          <w:tcPr>
            <w:tcW w:w="3225"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预算编制管理</w:t>
            </w:r>
          </w:p>
        </w:tc>
        <w:tc>
          <w:tcPr>
            <w:tcW w:w="2067"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i w:val="0"/>
                <w:color w:val="000000"/>
                <w:sz w:val="20"/>
                <w:szCs w:val="24"/>
                <w:u w:val="none"/>
                <w:lang w:val="en-US" w:eastAsia="zh-CN"/>
              </w:rPr>
            </w:pPr>
            <w:r>
              <w:rPr>
                <w:rFonts w:hint="eastAsia" w:ascii="Times New Roman" w:hAnsi="Times New Roman" w:cs="仿宋_GB2312"/>
                <w:i w:val="0"/>
                <w:color w:val="000000"/>
                <w:sz w:val="20"/>
                <w:szCs w:val="24"/>
                <w:u w:val="none"/>
                <w:lang w:val="en-US" w:eastAsia="zh-CN"/>
              </w:rPr>
              <w:t>科学合理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预算执行管理</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按预算执行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预算绩效管理</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规范科学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财务管理</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财务管理制度健全性</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健全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财务管理有效性</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有效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资产管理</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资产管理规范性</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规范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固定资产利用率</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其他管理</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政府采购执行率</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在职人员控制率</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80%-120%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kern w:val="0"/>
                <w:sz w:val="20"/>
                <w:szCs w:val="20"/>
                <w:u w:val="none"/>
                <w:lang w:val="en-US" w:eastAsia="zh-CN" w:bidi="ar"/>
              </w:rPr>
            </w:pPr>
            <w:r>
              <w:rPr>
                <w:rFonts w:hint="eastAsia" w:ascii="Times New Roman" w:hAnsi="Times New Roman" w:eastAsia="宋体" w:cs="等线"/>
                <w:i w:val="0"/>
                <w:color w:val="000000"/>
                <w:kern w:val="0"/>
                <w:sz w:val="20"/>
                <w:szCs w:val="20"/>
                <w:u w:val="none"/>
                <w:lang w:val="en-US" w:eastAsia="zh-CN" w:bidi="ar"/>
              </w:rPr>
              <w:t>预算信息公开</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lang w:val="en-US" w:eastAsia="zh-CN"/>
              </w:rPr>
            </w:pPr>
            <w:r>
              <w:rPr>
                <w:rFonts w:hint="eastAsia" w:ascii="Times New Roman" w:hAnsi="Times New Roman" w:cs="宋体"/>
                <w:i w:val="0"/>
                <w:color w:val="000000"/>
                <w:sz w:val="20"/>
                <w:szCs w:val="28"/>
                <w:u w:val="none"/>
                <w:lang w:val="en-US" w:eastAsia="zh-CN"/>
              </w:rPr>
              <w:t>及时公开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宋体"/>
                <w:i w:val="0"/>
                <w:color w:val="000000"/>
                <w:sz w:val="20"/>
                <w:szCs w:val="28"/>
                <w:u w:val="none"/>
                <w:lang w:val="en-US" w:eastAsia="zh-CN"/>
              </w:rPr>
            </w:pPr>
            <w:r>
              <w:rPr>
                <w:rFonts w:hint="eastAsia" w:ascii="Times New Roman" w:hAnsi="Times New Roman" w:eastAsia="宋体" w:cs="宋体"/>
                <w:i w:val="0"/>
                <w:color w:val="000000"/>
                <w:sz w:val="20"/>
                <w:szCs w:val="28"/>
                <w:u w:val="none"/>
                <w:lang w:val="en-US" w:eastAsia="zh-CN"/>
              </w:rPr>
              <w:t>效益目标</w:t>
            </w: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社会效益指标</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带动就业创业</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带动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促进劳动关系和谐</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促进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增强民生保障能力</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增强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可持续影响指标</w:t>
            </w:r>
          </w:p>
        </w:tc>
        <w:tc>
          <w:tcPr>
            <w:tcW w:w="3225" w:type="dxa"/>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人才支撑</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人才配置充足、合理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干部培训</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按计划组织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1896"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i w:val="0"/>
                <w:color w:val="000000"/>
                <w:sz w:val="20"/>
                <w:szCs w:val="28"/>
                <w:u w:val="none"/>
              </w:rPr>
            </w:pPr>
          </w:p>
        </w:tc>
        <w:tc>
          <w:tcPr>
            <w:tcW w:w="3225" w:type="dxa"/>
            <w:tcBorders>
              <w:tl2br w:val="nil"/>
              <w:tr2bl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等线"/>
                <w:i w:val="0"/>
                <w:color w:val="000000"/>
                <w:sz w:val="20"/>
                <w:szCs w:val="20"/>
                <w:u w:val="none"/>
              </w:rPr>
            </w:pPr>
            <w:r>
              <w:rPr>
                <w:rFonts w:hint="eastAsia" w:ascii="Times New Roman" w:hAnsi="Times New Roman" w:eastAsia="宋体" w:cs="等线"/>
                <w:i w:val="0"/>
                <w:color w:val="000000"/>
                <w:kern w:val="0"/>
                <w:sz w:val="20"/>
                <w:szCs w:val="20"/>
                <w:u w:val="none"/>
                <w:lang w:val="en-US" w:eastAsia="zh-CN" w:bidi="ar"/>
              </w:rPr>
              <w:t>奖惩违纪情况</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无违纪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restart"/>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满意度目标</w:t>
            </w:r>
          </w:p>
        </w:tc>
        <w:tc>
          <w:tcPr>
            <w:tcW w:w="1896"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服务对象满意度指标</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eastAsia="宋体" w:cs="宋体"/>
                <w:i w:val="0"/>
                <w:color w:val="000000"/>
                <w:kern w:val="0"/>
                <w:sz w:val="20"/>
                <w:szCs w:val="28"/>
                <w:u w:val="none"/>
                <w:lang w:val="en-US" w:eastAsia="zh-CN" w:bidi="ar"/>
              </w:rPr>
              <w:t>社会公众满意度</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sz w:val="20"/>
                <w:szCs w:val="28"/>
                <w:u w:val="none"/>
              </w:rPr>
            </w:pPr>
            <w:r>
              <w:rPr>
                <w:rFonts w:hint="eastAsia" w:ascii="Times New Roman" w:hAnsi="Times New Roman" w:cs="宋体"/>
                <w:i w:val="0"/>
                <w:color w:val="000000"/>
                <w:kern w:val="0"/>
                <w:sz w:val="20"/>
                <w:szCs w:val="28"/>
                <w:u w:val="none"/>
                <w:lang w:val="en-US" w:eastAsia="zh-CN" w:bidi="ar"/>
              </w:rPr>
              <w:t>≥</w:t>
            </w:r>
            <w:r>
              <w:rPr>
                <w:rFonts w:hint="eastAsia" w:ascii="Times New Roman" w:hAnsi="Times New Roman" w:eastAsia="宋体" w:cs="宋体"/>
                <w:i w:val="0"/>
                <w:color w:val="000000"/>
                <w:kern w:val="0"/>
                <w:sz w:val="20"/>
                <w:szCs w:val="28"/>
                <w:u w:val="none"/>
                <w:lang w:val="en-US" w:eastAsia="zh-CN" w:bidi="ar"/>
              </w:rPr>
              <w:t>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1" w:hRule="atLeast"/>
        </w:trPr>
        <w:tc>
          <w:tcPr>
            <w:tcW w:w="1683" w:type="dxa"/>
            <w:vMerge w:val="continue"/>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kern w:val="0"/>
                <w:sz w:val="20"/>
                <w:szCs w:val="28"/>
                <w:u w:val="none"/>
                <w:lang w:val="en-US" w:eastAsia="zh-CN" w:bidi="ar"/>
              </w:rPr>
            </w:pPr>
          </w:p>
        </w:tc>
        <w:tc>
          <w:tcPr>
            <w:tcW w:w="1896" w:type="dxa"/>
            <w:tcBorders>
              <w:tl2br w:val="nil"/>
              <w:tr2bl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kern w:val="0"/>
                <w:sz w:val="20"/>
                <w:szCs w:val="28"/>
                <w:u w:val="none"/>
                <w:lang w:val="en-US" w:eastAsia="zh-CN" w:bidi="ar"/>
              </w:rPr>
            </w:pPr>
            <w:r>
              <w:rPr>
                <w:rFonts w:hint="eastAsia" w:ascii="Times New Roman" w:hAnsi="Times New Roman" w:cs="宋体"/>
                <w:i w:val="0"/>
                <w:color w:val="000000"/>
                <w:kern w:val="0"/>
                <w:sz w:val="20"/>
                <w:szCs w:val="28"/>
                <w:u w:val="none"/>
                <w:lang w:val="en-US" w:eastAsia="zh-CN" w:bidi="ar"/>
              </w:rPr>
              <w:t>管理对象满意度</w:t>
            </w:r>
          </w:p>
        </w:tc>
        <w:tc>
          <w:tcPr>
            <w:tcW w:w="322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color w:val="000000"/>
                <w:kern w:val="0"/>
                <w:sz w:val="20"/>
                <w:szCs w:val="28"/>
                <w:u w:val="none"/>
                <w:lang w:val="en-US" w:eastAsia="zh-CN" w:bidi="ar"/>
              </w:rPr>
            </w:pPr>
            <w:r>
              <w:rPr>
                <w:rFonts w:hint="eastAsia" w:ascii="Times New Roman" w:hAnsi="Times New Roman" w:cs="宋体"/>
                <w:i w:val="0"/>
                <w:color w:val="000000"/>
                <w:kern w:val="0"/>
                <w:sz w:val="20"/>
                <w:szCs w:val="28"/>
                <w:u w:val="none"/>
                <w:lang w:val="en-US" w:eastAsia="zh-CN" w:bidi="ar"/>
              </w:rPr>
              <w:t>工作人员满意度</w:t>
            </w:r>
          </w:p>
        </w:tc>
        <w:tc>
          <w:tcPr>
            <w:tcW w:w="206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color w:val="000000"/>
                <w:kern w:val="0"/>
                <w:sz w:val="20"/>
                <w:szCs w:val="28"/>
                <w:u w:val="none"/>
                <w:lang w:val="en-US" w:eastAsia="zh-CN" w:bidi="ar"/>
              </w:rPr>
            </w:pPr>
            <w:r>
              <w:rPr>
                <w:rFonts w:hint="eastAsia" w:ascii="Times New Roman" w:hAnsi="Times New Roman" w:cs="宋体"/>
                <w:i w:val="0"/>
                <w:color w:val="000000"/>
                <w:kern w:val="0"/>
                <w:sz w:val="20"/>
                <w:szCs w:val="28"/>
                <w:u w:val="none"/>
                <w:lang w:val="en-US" w:eastAsia="zh-CN" w:bidi="ar"/>
              </w:rPr>
              <w:t>≥</w:t>
            </w:r>
            <w:r>
              <w:rPr>
                <w:rFonts w:hint="eastAsia" w:ascii="Times New Roman" w:hAnsi="Times New Roman" w:eastAsia="宋体" w:cs="宋体"/>
                <w:i w:val="0"/>
                <w:color w:val="000000"/>
                <w:kern w:val="0"/>
                <w:sz w:val="20"/>
                <w:szCs w:val="28"/>
                <w:u w:val="none"/>
                <w:lang w:val="en-US" w:eastAsia="zh-CN" w:bidi="ar"/>
              </w:rPr>
              <w:t>90%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napToGrid w:val="0"/>
          <w:sz w:val="32"/>
          <w:szCs w:val="32"/>
        </w:rPr>
      </w:pPr>
      <w:r>
        <w:rPr>
          <w:rFonts w:hint="eastAsia" w:ascii="楷体" w:hAnsi="楷体" w:eastAsia="楷体" w:cs="楷体"/>
          <w:snapToGrid w:val="0"/>
          <w:sz w:val="32"/>
          <w:szCs w:val="32"/>
        </w:rPr>
        <w:t>（三）部门经费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根据阳泉市财政局提供的数据，本次阳泉市人力资源和社会保障局</w:t>
      </w:r>
      <w:r>
        <w:rPr>
          <w:rFonts w:hint="eastAsia" w:ascii="仿宋_GB2312" w:hAnsi="仿宋_GB2312" w:eastAsia="仿宋_GB2312" w:cs="仿宋_GB2312"/>
          <w:sz w:val="32"/>
          <w:szCs w:val="32"/>
          <w:lang w:val="en-US" w:eastAsia="zh-CN"/>
        </w:rPr>
        <w:t>部门整体支出</w:t>
      </w:r>
      <w:r>
        <w:rPr>
          <w:rFonts w:hint="eastAsia" w:ascii="仿宋_GB2312" w:hAnsi="仿宋_GB2312" w:eastAsia="仿宋_GB2312" w:cs="仿宋_GB2312"/>
          <w:sz w:val="32"/>
          <w:szCs w:val="32"/>
        </w:rPr>
        <w:t>评价资金38,148.63万元，其中部门决算6,561.92万元，社保基金</w:t>
      </w:r>
      <w:r>
        <w:rPr>
          <w:rFonts w:hint="eastAsia" w:ascii="仿宋_GB2312" w:hAnsi="仿宋_GB2312" w:eastAsia="仿宋_GB2312" w:cs="仿宋_GB2312"/>
          <w:sz w:val="32"/>
          <w:szCs w:val="32"/>
          <w:lang w:val="en-US" w:eastAsia="zh-CN"/>
        </w:rPr>
        <w:t>相关补助资金</w:t>
      </w:r>
      <w:r>
        <w:rPr>
          <w:rFonts w:hint="eastAsia" w:ascii="仿宋_GB2312" w:hAnsi="仿宋_GB2312" w:eastAsia="仿宋_GB2312" w:cs="仿宋_GB2312"/>
          <w:sz w:val="32"/>
          <w:szCs w:val="32"/>
        </w:rPr>
        <w:t>31,586.71万元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预算执行率100%，无结转结余资金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napToGrid w:val="0"/>
          <w:sz w:val="32"/>
          <w:szCs w:val="32"/>
        </w:rPr>
      </w:pPr>
      <w:r>
        <w:rPr>
          <w:rFonts w:hint="eastAsia" w:ascii="楷体" w:hAnsi="楷体" w:eastAsia="楷体" w:cs="楷体"/>
          <w:snapToGrid w:val="0"/>
          <w:sz w:val="32"/>
          <w:szCs w:val="32"/>
        </w:rPr>
        <w:t>（四）评价结论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根据三级指标分析得分情况，经汇总计算，本次评价涉及四项一级指标总得分情况如表</w:t>
      </w: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bCs/>
          <w:snapToGrid w:val="0"/>
          <w:sz w:val="28"/>
          <w:szCs w:val="28"/>
        </w:rPr>
      </w:pPr>
      <w:r>
        <w:rPr>
          <w:rFonts w:ascii="Times New Roman" w:hAnsi="Times New Roman" w:eastAsia="黑体"/>
          <w:bCs/>
          <w:snapToGrid w:val="0"/>
          <w:sz w:val="28"/>
          <w:szCs w:val="28"/>
        </w:rPr>
        <w:t>表</w:t>
      </w:r>
      <w:r>
        <w:rPr>
          <w:rFonts w:hint="eastAsia" w:ascii="Times New Roman" w:hAnsi="Times New Roman" w:eastAsia="黑体"/>
          <w:bCs/>
          <w:snapToGrid w:val="0"/>
          <w:sz w:val="28"/>
          <w:szCs w:val="28"/>
          <w:lang w:val="en-US" w:eastAsia="zh-CN"/>
        </w:rPr>
        <w:t>2</w:t>
      </w:r>
      <w:r>
        <w:rPr>
          <w:rFonts w:ascii="Times New Roman" w:hAnsi="Times New Roman" w:eastAsia="黑体"/>
          <w:bCs/>
          <w:snapToGrid w:val="0"/>
          <w:sz w:val="28"/>
          <w:szCs w:val="28"/>
        </w:rPr>
        <w:t xml:space="preserve"> 一级指标得分情况</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58"/>
        <w:gridCol w:w="1720"/>
        <w:gridCol w:w="2041"/>
        <w:gridCol w:w="2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trPr>
        <w:tc>
          <w:tcPr>
            <w:tcW w:w="1798" w:type="pct"/>
            <w:shd w:val="clear" w:color="000000" w:fill="BFBFBF"/>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一级指标</w:t>
            </w:r>
          </w:p>
        </w:tc>
        <w:tc>
          <w:tcPr>
            <w:tcW w:w="949" w:type="pct"/>
            <w:shd w:val="clear" w:color="000000" w:fill="BFBFBF"/>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权重</w:t>
            </w:r>
          </w:p>
        </w:tc>
        <w:tc>
          <w:tcPr>
            <w:tcW w:w="1126" w:type="pct"/>
            <w:shd w:val="clear" w:color="000000" w:fill="BFBFBF"/>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得分</w:t>
            </w:r>
          </w:p>
        </w:tc>
        <w:tc>
          <w:tcPr>
            <w:tcW w:w="1126" w:type="pct"/>
            <w:shd w:val="clear" w:color="000000" w:fill="BFBFBF"/>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得分率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A履职效能</w:t>
            </w:r>
          </w:p>
        </w:tc>
        <w:tc>
          <w:tcPr>
            <w:tcW w:w="9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30</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rPr>
              <w:t>2</w:t>
            </w:r>
            <w:r>
              <w:rPr>
                <w:rFonts w:hint="eastAsia" w:ascii="Times New Roman" w:hAnsi="Times New Roman" w:cs="宋体"/>
                <w:b w:val="0"/>
                <w:bCs w:val="0"/>
                <w:color w:val="000000"/>
                <w:kern w:val="0"/>
                <w:sz w:val="20"/>
                <w:szCs w:val="22"/>
                <w:lang w:val="en-US" w:eastAsia="zh-CN"/>
              </w:rPr>
              <w:t>1</w:t>
            </w:r>
            <w:r>
              <w:rPr>
                <w:rFonts w:hint="eastAsia" w:ascii="Times New Roman" w:hAnsi="Times New Roman" w:cs="宋体"/>
                <w:b w:val="0"/>
                <w:bCs w:val="0"/>
                <w:color w:val="000000"/>
                <w:kern w:val="0"/>
                <w:sz w:val="20"/>
                <w:szCs w:val="22"/>
              </w:rPr>
              <w:t>.</w:t>
            </w:r>
            <w:r>
              <w:rPr>
                <w:rFonts w:hint="eastAsia" w:ascii="Times New Roman" w:hAnsi="Times New Roman" w:cs="宋体"/>
                <w:b w:val="0"/>
                <w:bCs w:val="0"/>
                <w:color w:val="000000"/>
                <w:kern w:val="0"/>
                <w:sz w:val="20"/>
                <w:szCs w:val="22"/>
                <w:lang w:val="en-US" w:eastAsia="zh-CN"/>
              </w:rPr>
              <w:t>2</w:t>
            </w:r>
            <w:r>
              <w:rPr>
                <w:rFonts w:hint="eastAsia" w:ascii="Times New Roman" w:hAnsi="Times New Roman" w:cs="宋体"/>
                <w:b w:val="0"/>
                <w:bCs w:val="0"/>
                <w:color w:val="000000"/>
                <w:kern w:val="0"/>
                <w:sz w:val="20"/>
                <w:szCs w:val="22"/>
              </w:rPr>
              <w:t>4</w:t>
            </w:r>
          </w:p>
        </w:tc>
        <w:tc>
          <w:tcPr>
            <w:tcW w:w="1126" w:type="pct"/>
            <w:shd w:val="clear" w:color="auto" w:fill="auto"/>
            <w:noWrap/>
            <w:vAlign w:val="bottom"/>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lang w:val="en-US" w:eastAsia="zh-CN"/>
              </w:rPr>
              <w:t>70.80%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B管理效率</w:t>
            </w:r>
          </w:p>
        </w:tc>
        <w:tc>
          <w:tcPr>
            <w:tcW w:w="9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40</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lang w:val="en-US" w:eastAsia="zh-CN"/>
              </w:rPr>
              <w:t>37.88</w:t>
            </w:r>
          </w:p>
        </w:tc>
        <w:tc>
          <w:tcPr>
            <w:tcW w:w="1126" w:type="pct"/>
            <w:shd w:val="clear" w:color="auto" w:fill="auto"/>
            <w:noWrap/>
            <w:vAlign w:val="bottom"/>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lang w:val="en-US" w:eastAsia="zh-CN"/>
              </w:rPr>
              <w:t>94.70%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C社会效应</w:t>
            </w:r>
          </w:p>
        </w:tc>
        <w:tc>
          <w:tcPr>
            <w:tcW w:w="9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20</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rPr>
              <w:t>1</w:t>
            </w:r>
            <w:r>
              <w:rPr>
                <w:rFonts w:hint="eastAsia" w:ascii="Times New Roman" w:hAnsi="Times New Roman" w:cs="宋体"/>
                <w:b w:val="0"/>
                <w:bCs w:val="0"/>
                <w:color w:val="000000"/>
                <w:kern w:val="0"/>
                <w:sz w:val="20"/>
                <w:szCs w:val="22"/>
                <w:lang w:val="en-US" w:eastAsia="zh-CN"/>
              </w:rPr>
              <w:t>9.61</w:t>
            </w:r>
          </w:p>
        </w:tc>
        <w:tc>
          <w:tcPr>
            <w:tcW w:w="1126" w:type="pct"/>
            <w:shd w:val="clear" w:color="auto" w:fill="auto"/>
            <w:noWrap/>
            <w:vAlign w:val="bottom"/>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b w:val="0"/>
                <w:bCs w:val="0"/>
                <w:color w:val="000000"/>
                <w:kern w:val="0"/>
                <w:sz w:val="20"/>
                <w:szCs w:val="24"/>
                <w:lang w:val="en-US" w:eastAsia="zh-CN" w:bidi="ar-SA"/>
              </w:rPr>
            </w:pPr>
            <w:r>
              <w:rPr>
                <w:rFonts w:hint="eastAsia" w:ascii="Times New Roman" w:hAnsi="Times New Roman" w:cs="宋体"/>
                <w:b w:val="0"/>
                <w:bCs w:val="0"/>
                <w:color w:val="000000"/>
                <w:kern w:val="0"/>
                <w:sz w:val="20"/>
                <w:lang w:val="en-US" w:eastAsia="zh-CN"/>
              </w:rPr>
              <w:t>98.05%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D可持续性</w:t>
            </w:r>
          </w:p>
        </w:tc>
        <w:tc>
          <w:tcPr>
            <w:tcW w:w="9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szCs w:val="22"/>
              </w:rPr>
            </w:pPr>
            <w:r>
              <w:rPr>
                <w:rFonts w:hint="eastAsia" w:ascii="Times New Roman" w:hAnsi="Times New Roman" w:cs="宋体"/>
                <w:color w:val="000000"/>
                <w:kern w:val="0"/>
                <w:sz w:val="20"/>
                <w:szCs w:val="22"/>
              </w:rPr>
              <w:t>10</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lang w:val="en-US" w:eastAsia="zh-CN"/>
              </w:rPr>
              <w:t>7</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eastAsia="宋体" w:cs="宋体"/>
                <w:b w:val="0"/>
                <w:bCs w:val="0"/>
                <w:color w:val="000000"/>
                <w:kern w:val="0"/>
                <w:sz w:val="20"/>
                <w:szCs w:val="22"/>
                <w:lang w:val="en-US" w:eastAsia="zh-CN" w:bidi="ar-SA"/>
              </w:rPr>
            </w:pPr>
            <w:r>
              <w:rPr>
                <w:rFonts w:hint="eastAsia" w:ascii="Times New Roman" w:hAnsi="Times New Roman" w:cs="宋体"/>
                <w:b w:val="0"/>
                <w:bCs w:val="0"/>
                <w:color w:val="000000"/>
                <w:kern w:val="0"/>
                <w:sz w:val="20"/>
                <w:szCs w:val="22"/>
                <w:lang w:val="en-US" w:eastAsia="zh-CN"/>
              </w:rPr>
              <w:t>7</w:t>
            </w:r>
            <w:r>
              <w:rPr>
                <w:rFonts w:hint="eastAsia" w:ascii="Times New Roman" w:hAnsi="Times New Roman" w:cs="宋体"/>
                <w:b w:val="0"/>
                <w:bCs w:val="0"/>
                <w:color w:val="000000"/>
                <w:kern w:val="0"/>
                <w:sz w:val="20"/>
                <w:szCs w:val="22"/>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合 计</w:t>
            </w:r>
          </w:p>
        </w:tc>
        <w:tc>
          <w:tcPr>
            <w:tcW w:w="9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100</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b/>
                <w:bCs/>
                <w:color w:val="000000"/>
                <w:kern w:val="0"/>
                <w:sz w:val="20"/>
                <w:szCs w:val="22"/>
                <w:lang w:val="en-US" w:eastAsia="zh-CN"/>
              </w:rPr>
            </w:pPr>
            <w:r>
              <w:rPr>
                <w:rFonts w:hint="eastAsia" w:ascii="Times New Roman" w:hAnsi="Times New Roman" w:cs="宋体"/>
                <w:b/>
                <w:bCs/>
                <w:color w:val="000000"/>
                <w:kern w:val="0"/>
                <w:sz w:val="20"/>
                <w:szCs w:val="22"/>
                <w:lang w:val="en-US" w:eastAsia="zh-CN"/>
              </w:rPr>
              <w:t>85.73</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szCs w:val="22"/>
              </w:rPr>
            </w:pPr>
            <w:r>
              <w:rPr>
                <w:rFonts w:hint="eastAsia" w:ascii="Times New Roman" w:hAnsi="Times New Roman" w:cs="宋体"/>
                <w:b/>
                <w:bCs/>
                <w:color w:val="000000"/>
                <w:kern w:val="0"/>
                <w:sz w:val="20"/>
                <w:szCs w:val="22"/>
              </w:rPr>
              <w:t>8</w:t>
            </w:r>
            <w:r>
              <w:rPr>
                <w:rFonts w:hint="eastAsia" w:ascii="Times New Roman" w:hAnsi="Times New Roman" w:cs="宋体"/>
                <w:b/>
                <w:bCs/>
                <w:color w:val="000000"/>
                <w:kern w:val="0"/>
                <w:sz w:val="20"/>
                <w:szCs w:val="22"/>
                <w:lang w:val="en-US" w:eastAsia="zh-CN"/>
              </w:rPr>
              <w:t>5.73</w:t>
            </w:r>
            <w:r>
              <w:rPr>
                <w:rFonts w:hint="eastAsia" w:ascii="Times New Roman" w:hAnsi="Times New Roman" w:cs="宋体"/>
                <w:b/>
                <w:bCs/>
                <w:color w:val="000000"/>
                <w:kern w:val="0"/>
                <w:sz w:val="20"/>
                <w:szCs w:val="22"/>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7"/>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根据项目基础信息统计，结合现场核查结果，按照评价指标体系要求，</w:t>
      </w:r>
      <w:r>
        <w:rPr>
          <w:rStyle w:val="47"/>
          <w:rFonts w:hint="eastAsia" w:ascii="仿宋_GB2312" w:hAnsi="仿宋_GB2312" w:eastAsia="仿宋_GB2312" w:cs="仿宋_GB2312"/>
          <w:sz w:val="32"/>
          <w:szCs w:val="32"/>
        </w:rPr>
        <w:t>阳泉市</w:t>
      </w:r>
      <w:r>
        <w:rPr>
          <w:rStyle w:val="47"/>
          <w:rFonts w:hint="eastAsia" w:ascii="仿宋_GB2312" w:hAnsi="仿宋_GB2312" w:eastAsia="仿宋_GB2312" w:cs="仿宋_GB2312"/>
          <w:sz w:val="32"/>
          <w:szCs w:val="32"/>
          <w:lang w:eastAsia="zh-CN"/>
        </w:rPr>
        <w:t>人力资源和社会保障局2021</w:t>
      </w:r>
      <w:r>
        <w:rPr>
          <w:rStyle w:val="47"/>
          <w:rFonts w:hint="eastAsia" w:ascii="仿宋_GB2312" w:hAnsi="仿宋_GB2312" w:eastAsia="仿宋_GB2312" w:cs="仿宋_GB2312"/>
          <w:sz w:val="32"/>
          <w:szCs w:val="32"/>
        </w:rPr>
        <w:t>年度部门整体支出</w:t>
      </w:r>
      <w:r>
        <w:rPr>
          <w:rFonts w:hint="eastAsia" w:ascii="仿宋_GB2312" w:hAnsi="仿宋_GB2312" w:eastAsia="仿宋_GB2312" w:cs="仿宋_GB2312"/>
          <w:sz w:val="32"/>
          <w:szCs w:val="32"/>
        </w:rPr>
        <w:t>绩效评价综合得分8</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rPr>
        <w:t>分，绩效评级为“良”。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评价结果说明，阳泉市</w:t>
      </w:r>
      <w:r>
        <w:rPr>
          <w:rStyle w:val="47"/>
          <w:rFonts w:hint="eastAsia" w:ascii="仿宋_GB2312" w:hAnsi="仿宋_GB2312" w:eastAsia="仿宋_GB2312" w:cs="仿宋_GB2312"/>
          <w:sz w:val="32"/>
          <w:szCs w:val="32"/>
          <w:lang w:eastAsia="zh-CN"/>
        </w:rPr>
        <w:t>人力资源和社会保障局2021</w:t>
      </w:r>
      <w:r>
        <w:rPr>
          <w:rStyle w:val="47"/>
          <w:rFonts w:hint="eastAsia" w:ascii="仿宋_GB2312" w:hAnsi="仿宋_GB2312" w:eastAsia="仿宋_GB2312" w:cs="仿宋_GB2312"/>
          <w:sz w:val="32"/>
          <w:szCs w:val="32"/>
        </w:rPr>
        <w:t>年度部门整体支出基本达到了预期绩效目标，具体表现为</w:t>
      </w:r>
      <w:r>
        <w:rPr>
          <w:rStyle w:val="47"/>
          <w:rFonts w:hint="eastAsia" w:ascii="仿宋_GB2312" w:hAnsi="仿宋_GB2312" w:eastAsia="仿宋_GB2312" w:cs="仿宋_GB2312"/>
          <w:sz w:val="32"/>
          <w:szCs w:val="32"/>
          <w:lang w:val="en-US" w:eastAsia="zh-CN"/>
        </w:rPr>
        <w:t>部门基础能力建设稳固，财务管理和资产管理规范</w:t>
      </w:r>
      <w:r>
        <w:rPr>
          <w:rStyle w:val="47"/>
          <w:rFonts w:hint="eastAsia" w:ascii="仿宋_GB2312" w:hAnsi="仿宋_GB2312" w:eastAsia="仿宋_GB2312" w:cs="仿宋_GB2312"/>
          <w:sz w:val="32"/>
          <w:szCs w:val="32"/>
        </w:rPr>
        <w:t>，目标任务完成情况较好。</w:t>
      </w:r>
      <w:r>
        <w:rPr>
          <w:rStyle w:val="47"/>
          <w:rFonts w:hint="eastAsia" w:ascii="仿宋_GB2312" w:hAnsi="仿宋_GB2312" w:eastAsia="仿宋_GB2312" w:cs="仿宋_GB2312"/>
          <w:sz w:val="32"/>
          <w:szCs w:val="32"/>
          <w:lang w:val="en-US" w:eastAsia="zh-CN"/>
        </w:rPr>
        <w:t>但存在核心业务能力有欠缺，下属单位人才队伍管理和预算执行管理不足</w:t>
      </w:r>
      <w:r>
        <w:rPr>
          <w:rStyle w:val="47"/>
          <w:rFonts w:hint="eastAsia" w:ascii="仿宋_GB2312" w:hAnsi="仿宋_GB2312" w:eastAsia="仿宋_GB2312" w:cs="仿宋_GB2312"/>
          <w:sz w:val="32"/>
          <w:szCs w:val="32"/>
        </w:rPr>
        <w:t>等</w:t>
      </w:r>
      <w:r>
        <w:rPr>
          <w:rStyle w:val="47"/>
          <w:rFonts w:hint="eastAsia" w:ascii="仿宋_GB2312" w:hAnsi="仿宋_GB2312" w:eastAsia="仿宋_GB2312" w:cs="仿宋_GB2312"/>
          <w:sz w:val="32"/>
          <w:szCs w:val="32"/>
          <w:lang w:val="en-US" w:eastAsia="zh-CN"/>
        </w:rPr>
        <w:t>问题</w:t>
      </w:r>
      <w:r>
        <w:rPr>
          <w:rStyle w:val="47"/>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评价主要在核心业务、预算管理和</w:t>
      </w:r>
      <w:r>
        <w:rPr>
          <w:rFonts w:hint="eastAsia" w:ascii="仿宋_GB2312" w:hAnsi="仿宋_GB2312" w:eastAsia="仿宋_GB2312" w:cs="仿宋_GB2312"/>
          <w:sz w:val="32"/>
          <w:szCs w:val="32"/>
          <w:lang w:val="en-US" w:eastAsia="zh-CN"/>
        </w:rPr>
        <w:t>可持续性</w:t>
      </w:r>
      <w:r>
        <w:rPr>
          <w:rFonts w:hint="eastAsia" w:ascii="仿宋_GB2312" w:hAnsi="仿宋_GB2312" w:eastAsia="仿宋_GB2312" w:cs="仿宋_GB2312"/>
          <w:sz w:val="32"/>
          <w:szCs w:val="32"/>
        </w:rPr>
        <w:t>等方面进行了扣分。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二、</w:t>
      </w:r>
      <w:r>
        <w:rPr>
          <w:rFonts w:hint="eastAsia" w:ascii="黑体" w:hAnsi="黑体" w:eastAsia="黑体" w:cs="黑体"/>
          <w:bCs/>
          <w:sz w:val="32"/>
          <w:szCs w:val="32"/>
        </w:rPr>
        <w:t>主要绩效及经验做法</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楷体" w:hAnsi="楷体" w:eastAsia="楷体" w:cs="楷体"/>
          <w:bCs/>
          <w:sz w:val="32"/>
          <w:szCs w:val="32"/>
          <w:lang w:eastAsia="zh-CN"/>
        </w:rPr>
      </w:pPr>
      <w:r>
        <w:rPr>
          <w:rFonts w:hint="eastAsia" w:ascii="楷体" w:hAnsi="楷体" w:eastAsia="楷体" w:cs="楷体"/>
          <w:bCs/>
          <w:sz w:val="32"/>
          <w:szCs w:val="32"/>
          <w:lang w:eastAsia="zh-CN"/>
        </w:rPr>
        <w:t>（一）主要绩效</w:t>
      </w:r>
    </w:p>
    <w:p>
      <w:pPr>
        <w:pStyle w:val="66"/>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就业保障方面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阳泉市人社局</w:t>
      </w:r>
      <w:r>
        <w:rPr>
          <w:rFonts w:hint="eastAsia" w:ascii="仿宋_GB2312" w:hAnsi="仿宋_GB2312" w:eastAsia="仿宋_GB2312" w:cs="仿宋_GB2312"/>
          <w:sz w:val="32"/>
          <w:szCs w:val="32"/>
        </w:rPr>
        <w:t>认真贯彻落实党中央国务院和</w:t>
      </w:r>
      <w:r>
        <w:rPr>
          <w:rFonts w:hint="eastAsia" w:ascii="仿宋_GB2312" w:hAnsi="仿宋_GB2312" w:eastAsia="仿宋_GB2312" w:cs="仿宋_GB2312"/>
          <w:sz w:val="32"/>
          <w:szCs w:val="32"/>
          <w:highlight w:val="none"/>
        </w:rPr>
        <w:t>省委省政府、市委市政府关于稳就业保就业的决策部署，努力克服</w:t>
      </w:r>
      <w:r>
        <w:rPr>
          <w:rFonts w:hint="eastAsia" w:ascii="仿宋_GB2312" w:hAnsi="仿宋_GB2312" w:eastAsia="仿宋_GB2312" w:cs="仿宋_GB2312"/>
          <w:sz w:val="32"/>
          <w:szCs w:val="32"/>
        </w:rPr>
        <w:t>疫情影响和经济下行压力加大等不利因素，充分发挥牵头抓总作用，不断完善公共就业服务体系，努力推动创业带动就业取得实效，确保全市就业局势稳定。</w:t>
      </w:r>
      <w:r>
        <w:rPr>
          <w:rFonts w:hint="eastAsia" w:ascii="仿宋_GB2312" w:hAnsi="仿宋_GB2312" w:eastAsia="仿宋_GB2312" w:cs="仿宋_GB2312"/>
          <w:sz w:val="32"/>
          <w:szCs w:val="32"/>
          <w:lang w:val="en-US" w:eastAsia="zh-CN"/>
        </w:rPr>
        <w:t>2021年阳泉市城镇新增就业21090 人，完成全年目标任务的105.45%；全市城镇失业人员再就业人数12881人，完成全年目标任务的107.34%；全市就业困难人员再就业3621人，完成全年目标任务的113.16%；全市城镇登记失业率为3.19%，低于省定4.5%的控制目标；全市转移农村劳动力8313人，完成全年目标任务的103.91%。</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color w:val="000000"/>
          <w:sz w:val="32"/>
          <w:szCs w:val="32"/>
        </w:rPr>
        <w:t>社会保障能力方面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阳泉市人社局</w:t>
      </w:r>
      <w:r>
        <w:rPr>
          <w:rFonts w:hint="eastAsia" w:ascii="仿宋_GB2312" w:hAnsi="仿宋_GB2312" w:eastAsia="仿宋_GB2312" w:cs="仿宋_GB2312"/>
          <w:color w:val="000000"/>
          <w:sz w:val="32"/>
          <w:szCs w:val="32"/>
        </w:rPr>
        <w:t>坚决贯彻落实习近平总书记关于完善覆盖全民的社会保障体系重要讲话精神，按照“覆盖全民、统筹城乡、公平统一、可持续”工作方针，努力构建多层次社会保障体系。</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城乡居民补充养老保险制度实施位居全省第一方阵。自2021年1月1日启动实施以来，阳泉市城乡居民补充养老保险制度工作位次稳居全省第二。</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助力</w:t>
      </w:r>
      <w:r>
        <w:rPr>
          <w:rFonts w:hint="eastAsia" w:ascii="仿宋_GB2312" w:hAnsi="仿宋_GB2312" w:eastAsia="仿宋_GB2312" w:cs="仿宋_GB2312"/>
          <w:color w:val="000000"/>
          <w:sz w:val="32"/>
          <w:szCs w:val="32"/>
          <w:highlight w:val="none"/>
        </w:rPr>
        <w:t>国资国企改</w:t>
      </w:r>
      <w:r>
        <w:rPr>
          <w:rFonts w:hint="eastAsia" w:ascii="仿宋_GB2312" w:hAnsi="仿宋_GB2312" w:eastAsia="仿宋_GB2312" w:cs="仿宋_GB2312"/>
          <w:color w:val="000000"/>
          <w:sz w:val="32"/>
          <w:szCs w:val="32"/>
        </w:rPr>
        <w:t>革。目前，全市22户“僵尸企业”养老保险单位部分欠费已按规定程序申报核销，涉及金额2.7亿元。在全省“企业养老保险省级统筹考评”中位列第三，获得1000万元奖励基金。</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机关事业单位养老保险制度改革工作走在全省前列。经过近五年的实践，探索出了具有阳泉特色、可供借鉴的改革经验，整体工作位居全省第一，改革成效得到国家人社部和财政部中期评估调研组充分肯定和高度评价，认为阳泉改革经验值得全国同行业学习借鉴。</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3.人才技能方面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阳泉市</w:t>
      </w:r>
      <w:r>
        <w:rPr>
          <w:rFonts w:hint="eastAsia" w:ascii="仿宋_GB2312" w:hAnsi="仿宋_GB2312" w:eastAsia="仿宋_GB2312" w:cs="仿宋_GB2312"/>
          <w:color w:val="000000"/>
          <w:sz w:val="32"/>
          <w:szCs w:val="32"/>
        </w:rPr>
        <w:t>“人人持证、技能社会”建设加速推进。市人社局紧紧围绕“两个30%”（技能人才占从业人员比例、高技能人才占技能人才总量比例分别达到 30%以上）和“一个40%”（从业人员持证率）的奋斗目标，发挥高校、企业、社会培训机构“三位一体”各方优势，全面推进职业技能培训提质增效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精准开展企业在岗职工培训，在43家重点企业中开展在岗职工精准技能培训18459人，晋东燃气公司、市热力公司等10家单位为企业职工技能培训示范基地。紧盯重点群体就业扩大培训覆盖面，培训农村转移劳动力、脱贫劳动力、城乡未继续升学初高中毕业生等28380人。积极推行一本两专“双证工程”，5400多名高校应届毕业生全部参加职业技能培训，并取得相应职业资格证书。</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在全省率先推行专业技术职称电子化证书。“阳泉市企事业单位职称评审系统”6月份成功上线，在全省率先实现专业技术职称证书在线申领和查验。</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 xml:space="preserve">创建技能大师工作室。首批命名紫砂制壶、药茶工艺等全市13家技能大师工作室，推荐5家参加省级技能大师评选。 </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4.劳动关系方面</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深入推进人社系统“三零”单位创建，全面排查人社领域风险隐患，积极稳妥化解劳动关系突出矛盾，确保劳动关系总体和谐稳定。</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高标准迎接全国农民工工作督察和根治欠薪考核。根据全省统一安排，积极协调各县区、各成员单位和有关企业及在建工程项目，严格按照国考标准做好充分准备，阳泉作为省定三个国务院考核备选地市之一，工作成效得到省人社厅高度肯定。</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积极做好根治欠薪工作。开展《保障农民工工资支付条例》宣传活动，不断规范企业用工管理和工资支付行为。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有序推进“三零”单位创建。劳动人事争议调解仲裁“及时受理率、按期办结率、群众满意率”均达到100%。</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共办理劳动争议案件956件，结案率为100%，调解成功率为85.4%，为劳动者解决工伤保险待遇、经济补偿金、赔偿金共计6170.28万元。</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w:t>
      </w:r>
      <w:r>
        <w:rPr>
          <w:rFonts w:hint="eastAsia" w:ascii="楷体" w:hAnsi="楷体" w:eastAsia="楷体" w:cs="楷体"/>
          <w:bCs/>
          <w:sz w:val="32"/>
          <w:szCs w:val="32"/>
          <w:lang w:val="en-US" w:eastAsia="zh-CN"/>
        </w:rPr>
        <w:t>经验做法</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2" w:firstLineChars="200"/>
        <w:contextualSpacing/>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pacing w:val="0"/>
          <w:kern w:val="0"/>
          <w:sz w:val="32"/>
          <w:szCs w:val="32"/>
          <w:u w:val="none"/>
          <w:lang w:val="en-US" w:eastAsia="zh-CN"/>
        </w:rPr>
        <w:t>1.坚持服务企业，</w:t>
      </w:r>
      <w:r>
        <w:rPr>
          <w:rFonts w:hint="eastAsia" w:ascii="仿宋_GB2312" w:hAnsi="仿宋_GB2312" w:eastAsia="仿宋_GB2312" w:cs="仿宋_GB2312"/>
          <w:b/>
          <w:bCs/>
          <w:spacing w:val="0"/>
          <w:kern w:val="0"/>
          <w:sz w:val="32"/>
          <w:szCs w:val="32"/>
          <w:u w:val="none"/>
          <w:lang w:eastAsia="zh-CN"/>
        </w:rPr>
        <w:t>率先完成工资保证金现金存储替代工作</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pacing w:val="0"/>
          <w:kern w:val="0"/>
          <w:sz w:val="32"/>
          <w:szCs w:val="32"/>
          <w:u w:val="none"/>
          <w:lang w:eastAsia="zh-CN"/>
        </w:rPr>
        <w:t>山西省人社厅《关于做好以金融机构保函替代工资保证金现金存储工作的通知》（晋人社厅函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1029号</w:t>
      </w:r>
      <w:r>
        <w:rPr>
          <w:rFonts w:hint="eastAsia" w:ascii="仿宋_GB2312" w:hAnsi="仿宋_GB2312" w:eastAsia="仿宋_GB2312" w:cs="仿宋_GB2312"/>
          <w:spacing w:val="0"/>
          <w:kern w:val="0"/>
          <w:sz w:val="32"/>
          <w:szCs w:val="32"/>
          <w:u w:val="none"/>
          <w:lang w:eastAsia="zh-CN"/>
        </w:rPr>
        <w:t>）</w:t>
      </w:r>
      <w:r>
        <w:rPr>
          <w:rFonts w:hint="eastAsia" w:ascii="仿宋_GB2312" w:hAnsi="仿宋_GB2312" w:eastAsia="仿宋_GB2312" w:cs="仿宋_GB2312"/>
          <w:sz w:val="32"/>
          <w:szCs w:val="32"/>
          <w:lang w:eastAsia="zh-CN"/>
        </w:rPr>
        <w:t>有关要求，为</w:t>
      </w:r>
      <w:r>
        <w:rPr>
          <w:rFonts w:hint="eastAsia" w:ascii="仿宋_GB2312" w:hAnsi="仿宋_GB2312" w:eastAsia="仿宋_GB2312" w:cs="仿宋_GB2312"/>
          <w:spacing w:val="0"/>
          <w:kern w:val="0"/>
          <w:sz w:val="32"/>
          <w:szCs w:val="32"/>
          <w:u w:val="none"/>
          <w:lang w:eastAsia="zh-CN"/>
        </w:rPr>
        <w:t>进一步减轻企业负担、优化</w:t>
      </w:r>
      <w:r>
        <w:rPr>
          <w:rFonts w:hint="eastAsia" w:ascii="仿宋_GB2312" w:hAnsi="仿宋_GB2312" w:eastAsia="仿宋_GB2312" w:cs="仿宋_GB2312"/>
          <w:spacing w:val="0"/>
          <w:kern w:val="0"/>
          <w:sz w:val="32"/>
          <w:szCs w:val="32"/>
          <w:u w:val="none"/>
          <w:lang w:val="en-US" w:eastAsia="zh-CN"/>
        </w:rPr>
        <w:t>山西省</w:t>
      </w:r>
      <w:r>
        <w:rPr>
          <w:rFonts w:hint="eastAsia" w:ascii="仿宋_GB2312" w:hAnsi="仿宋_GB2312" w:eastAsia="仿宋_GB2312" w:cs="仿宋_GB2312"/>
          <w:spacing w:val="0"/>
          <w:kern w:val="0"/>
          <w:sz w:val="32"/>
          <w:szCs w:val="32"/>
          <w:u w:val="none"/>
          <w:lang w:eastAsia="zh-CN"/>
        </w:rPr>
        <w:t>营商环境，清退各项目在人社部门现金存储的工资保证金，企业可自主选择使用金融机构保函或将其转存至农民工工资专用账户中。</w:t>
      </w:r>
      <w:r>
        <w:rPr>
          <w:rFonts w:hint="eastAsia" w:ascii="仿宋_GB2312" w:hAnsi="仿宋_GB2312" w:eastAsia="仿宋_GB2312" w:cs="仿宋_GB2312"/>
          <w:spacing w:val="0"/>
          <w:kern w:val="0"/>
          <w:sz w:val="32"/>
          <w:szCs w:val="32"/>
          <w:u w:val="none"/>
          <w:lang w:val="en-US" w:eastAsia="zh-CN"/>
        </w:rPr>
        <w:t>2021年，阳泉市工资保证金现金存储已按要求全部清退，市本级共清退99个项目2978万余元，并于2021年12月6日注销工资保证金账户，</w:t>
      </w:r>
      <w:r>
        <w:rPr>
          <w:rFonts w:hint="eastAsia" w:ascii="仿宋_GB2312" w:hAnsi="仿宋_GB2312" w:eastAsia="仿宋_GB2312" w:cs="仿宋_GB2312"/>
          <w:sz w:val="32"/>
          <w:szCs w:val="32"/>
          <w:lang w:val="en-US" w:eastAsia="zh-CN"/>
        </w:rPr>
        <w:t>率先完成工资保证金清退任务，注销</w:t>
      </w:r>
      <w:r>
        <w:rPr>
          <w:rFonts w:hint="eastAsia" w:ascii="仿宋_GB2312" w:hAnsi="仿宋_GB2312" w:eastAsia="仿宋_GB2312" w:cs="仿宋_GB2312"/>
          <w:spacing w:val="0"/>
          <w:kern w:val="0"/>
          <w:sz w:val="32"/>
          <w:szCs w:val="32"/>
          <w:u w:val="none"/>
          <w:lang w:val="en-US" w:eastAsia="zh-CN"/>
        </w:rPr>
        <w:t>工资保证金账户属全省首例。</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2"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2.坚持</w:t>
      </w:r>
      <w:r>
        <w:rPr>
          <w:rFonts w:hint="eastAsia" w:ascii="仿宋_GB2312" w:hAnsi="仿宋_GB2312" w:eastAsia="仿宋_GB2312" w:cs="仿宋_GB2312"/>
          <w:b/>
          <w:bCs/>
          <w:sz w:val="32"/>
          <w:szCs w:val="32"/>
        </w:rPr>
        <w:t>多措并举，根治欠薪</w:t>
      </w:r>
      <w:r>
        <w:rPr>
          <w:rFonts w:hint="eastAsia" w:ascii="仿宋_GB2312" w:hAnsi="仿宋_GB2312" w:eastAsia="仿宋_GB2312" w:cs="仿宋_GB2312"/>
          <w:b/>
          <w:bCs/>
          <w:sz w:val="32"/>
          <w:szCs w:val="32"/>
          <w:lang w:val="en-US" w:eastAsia="zh-CN"/>
        </w:rPr>
        <w:t>取得</w:t>
      </w:r>
      <w:r>
        <w:rPr>
          <w:rFonts w:hint="eastAsia" w:ascii="仿宋_GB2312" w:hAnsi="仿宋_GB2312" w:eastAsia="仿宋_GB2312" w:cs="仿宋_GB2312"/>
          <w:b/>
          <w:bCs/>
          <w:sz w:val="32"/>
          <w:szCs w:val="32"/>
        </w:rPr>
        <w:t>明显成效</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2021年人社局</w:t>
      </w:r>
      <w:r>
        <w:rPr>
          <w:rFonts w:hint="eastAsia" w:ascii="仿宋_GB2312" w:hAnsi="仿宋_GB2312" w:eastAsia="仿宋_GB2312" w:cs="仿宋_GB2312"/>
          <w:sz w:val="32"/>
          <w:szCs w:val="32"/>
        </w:rPr>
        <w:t>劳动保障监察执法队</w:t>
      </w:r>
      <w:r>
        <w:rPr>
          <w:rFonts w:hint="eastAsia" w:ascii="仿宋_GB2312" w:hAnsi="仿宋_GB2312" w:eastAsia="仿宋_GB2312" w:cs="仿宋_GB2312"/>
          <w:bCs/>
          <w:sz w:val="32"/>
          <w:szCs w:val="32"/>
          <w:lang w:val="en-US" w:eastAsia="zh-CN"/>
        </w:rPr>
        <w:t>积极推进根治欠薪工作，多项举措齐发力，根治欠薪工作取得了显著成效</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val="en-US" w:eastAsia="zh-CN"/>
        </w:rPr>
        <w:t>具体做法一是加大巡查力度，及时发现问题。</w:t>
      </w:r>
      <w:r>
        <w:rPr>
          <w:rFonts w:hint="eastAsia" w:ascii="仿宋_GB2312" w:hAnsi="仿宋_GB2312" w:eastAsia="仿宋_GB2312" w:cs="仿宋_GB2312"/>
          <w:sz w:val="32"/>
          <w:szCs w:val="32"/>
        </w:rPr>
        <w:t>劳动保障监察执法队对全市</w:t>
      </w:r>
      <w:r>
        <w:rPr>
          <w:rFonts w:hint="eastAsia" w:ascii="仿宋_GB2312" w:hAnsi="仿宋_GB2312" w:eastAsia="仿宋_GB2312" w:cs="仿宋_GB2312"/>
          <w:sz w:val="32"/>
          <w:szCs w:val="32"/>
          <w:lang w:val="en-US" w:eastAsia="zh-CN"/>
        </w:rPr>
        <w:t>117个</w:t>
      </w:r>
      <w:r>
        <w:rPr>
          <w:rFonts w:hint="eastAsia" w:ascii="仿宋_GB2312" w:hAnsi="仿宋_GB2312" w:eastAsia="仿宋_GB2312" w:cs="仿宋_GB2312"/>
          <w:sz w:val="32"/>
          <w:szCs w:val="32"/>
        </w:rPr>
        <w:t>在建项目进行“拉网式”排查,跟踪落实六项主体责任，</w:t>
      </w:r>
      <w:r>
        <w:rPr>
          <w:rFonts w:hint="eastAsia" w:ascii="仿宋_GB2312" w:hAnsi="仿宋_GB2312" w:eastAsia="仿宋_GB2312" w:cs="仿宋_GB2312"/>
          <w:sz w:val="32"/>
          <w:szCs w:val="32"/>
          <w:lang w:val="en-US" w:eastAsia="zh-CN"/>
        </w:rPr>
        <w:t>同时，人社部门</w:t>
      </w:r>
      <w:r>
        <w:rPr>
          <w:rFonts w:hint="eastAsia" w:ascii="仿宋_GB2312" w:hAnsi="仿宋_GB2312" w:eastAsia="仿宋_GB2312" w:cs="仿宋_GB2312"/>
          <w:b w:val="0"/>
          <w:bCs w:val="0"/>
          <w:kern w:val="2"/>
          <w:sz w:val="32"/>
          <w:szCs w:val="32"/>
          <w:lang w:val="en-US" w:eastAsia="zh-CN" w:bidi="ar-SA"/>
        </w:rPr>
        <w:t>联合住建部门在全市范围内组织开展了2021年度建筑市场“双随机、一公开”专项联合执法检查，</w:t>
      </w:r>
      <w:r>
        <w:rPr>
          <w:rFonts w:hint="eastAsia" w:ascii="仿宋_GB2312" w:hAnsi="仿宋_GB2312" w:eastAsia="仿宋_GB2312" w:cs="仿宋_GB2312"/>
          <w:sz w:val="32"/>
          <w:szCs w:val="32"/>
        </w:rPr>
        <w:t>及时发现和消除欠薪隐患</w:t>
      </w:r>
      <w:r>
        <w:rPr>
          <w:rFonts w:hint="eastAsia" w:ascii="仿宋_GB2312" w:hAnsi="仿宋_GB2312" w:eastAsia="仿宋_GB2312" w:cs="仿宋_GB2312"/>
          <w:b w:val="0"/>
          <w:bCs w:val="0"/>
          <w:kern w:val="2"/>
          <w:sz w:val="32"/>
          <w:szCs w:val="32"/>
          <w:lang w:val="en-US" w:eastAsia="zh-CN" w:bidi="ar-SA"/>
        </w:rPr>
        <w:t>。二是加大惩戒力度，</w:t>
      </w:r>
      <w:r>
        <w:rPr>
          <w:rFonts w:hint="eastAsia" w:ascii="仿宋_GB2312" w:hAnsi="仿宋_GB2312" w:eastAsia="仿宋_GB2312" w:cs="仿宋_GB2312"/>
          <w:kern w:val="2"/>
          <w:sz w:val="32"/>
          <w:szCs w:val="32"/>
          <w:lang w:val="en-US" w:eastAsia="zh-CN" w:bidi="ar"/>
        </w:rPr>
        <w:t>打击恶意欠薪。对查实存在欠薪且拒不履行清偿责任的欠薪责任单位及责任人，向社会公开曝光，符合条件的，列入“黑名单”管理；建立健全行政部门与公检法机关常态化沟通协作机制，依法严厉打击涉嫌拒不支付劳动报酬等违法犯罪行为。违法案件通过人社部门门户网站、“信用中国”网站、国家企业信用信息公示系统等予以公示，实施联合惩戒，在政府资金支持、政府采购、招投标、生产许可、资质审核、融资贷款、市场准入、税收优惠、评优评先等方面予以限制。三是部门联动，快速处置欠薪。由阳泉市人社局、</w:t>
      </w:r>
      <w:r>
        <w:rPr>
          <w:rFonts w:hint="eastAsia" w:ascii="仿宋_GB2312" w:hAnsi="仿宋_GB2312" w:eastAsia="仿宋_GB2312" w:cs="仿宋_GB2312"/>
          <w:b w:val="0"/>
          <w:bCs/>
          <w:kern w:val="0"/>
          <w:sz w:val="32"/>
          <w:szCs w:val="32"/>
          <w:lang w:val="en-US" w:eastAsia="zh-CN"/>
        </w:rPr>
        <w:t>住建、交通、水利等31个部门组成</w:t>
      </w:r>
      <w:r>
        <w:rPr>
          <w:rFonts w:hint="eastAsia" w:ascii="仿宋_GB2312" w:hAnsi="仿宋_GB2312" w:eastAsia="仿宋_GB2312" w:cs="仿宋_GB2312"/>
          <w:b w:val="0"/>
          <w:bCs w:val="0"/>
          <w:kern w:val="2"/>
          <w:sz w:val="32"/>
          <w:szCs w:val="32"/>
          <w:lang w:val="en-US" w:eastAsia="zh-CN" w:bidi="ar-SA"/>
        </w:rPr>
        <w:t>市政府农民工工作暨根治拖欠农民工工资工作领导小组，聚合31个成员单位力量，</w:t>
      </w:r>
      <w:r>
        <w:rPr>
          <w:rFonts w:hint="eastAsia" w:ascii="仿宋_GB2312" w:hAnsi="仿宋_GB2312" w:eastAsia="仿宋_GB2312" w:cs="仿宋_GB2312"/>
          <w:b w:val="0"/>
          <w:bCs/>
          <w:kern w:val="0"/>
          <w:sz w:val="32"/>
          <w:szCs w:val="32"/>
          <w:u w:val="none"/>
          <w:lang w:val="en-US" w:eastAsia="zh-CN"/>
        </w:rPr>
        <w:t>各司其职、各负其责，发挥监管优势，</w:t>
      </w:r>
      <w:r>
        <w:rPr>
          <w:rFonts w:hint="eastAsia" w:ascii="仿宋_GB2312" w:hAnsi="仿宋_GB2312" w:eastAsia="仿宋_GB2312" w:cs="仿宋_GB2312"/>
          <w:kern w:val="2"/>
          <w:sz w:val="32"/>
          <w:szCs w:val="32"/>
          <w:lang w:val="en-US" w:eastAsia="zh-CN" w:bidi="ar-SA"/>
        </w:rPr>
        <w:t>整合执法力量，加快办案进程，</w:t>
      </w:r>
      <w:r>
        <w:rPr>
          <w:rFonts w:hint="eastAsia" w:ascii="仿宋_GB2312" w:hAnsi="仿宋_GB2312" w:eastAsia="仿宋_GB2312" w:cs="仿宋_GB2312"/>
          <w:b w:val="0"/>
          <w:bCs/>
          <w:kern w:val="0"/>
          <w:sz w:val="32"/>
          <w:szCs w:val="32"/>
          <w:u w:val="none"/>
          <w:lang w:val="en-US" w:eastAsia="zh-CN"/>
        </w:rPr>
        <w:t>实现对拖欠农民工工资问题的快速治理。</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spacing w:val="0"/>
          <w:kern w:val="0"/>
          <w:sz w:val="32"/>
          <w:szCs w:val="32"/>
          <w:u w:val="none"/>
          <w:lang w:val="en-US" w:eastAsia="zh-CN" w:bidi="ar-SA"/>
        </w:rPr>
      </w:pPr>
      <w:r>
        <w:rPr>
          <w:rFonts w:hint="eastAsia" w:ascii="仿宋_GB2312" w:hAnsi="仿宋_GB2312" w:eastAsia="仿宋_GB2312" w:cs="仿宋_GB2312"/>
          <w:b/>
          <w:bCs/>
          <w:spacing w:val="0"/>
          <w:kern w:val="0"/>
          <w:sz w:val="32"/>
          <w:szCs w:val="32"/>
          <w:u w:val="none"/>
          <w:lang w:val="en-US" w:eastAsia="zh-CN" w:bidi="ar-SA"/>
        </w:rPr>
        <w:t>3.坚持落实落细，城乡居民补充养老保险制度实施居全省前列</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0"/>
          <w:kern w:val="0"/>
          <w:sz w:val="32"/>
          <w:szCs w:val="32"/>
          <w:u w:val="none"/>
          <w:lang w:val="en-US" w:eastAsia="zh-CN" w:bidi="ar-SA"/>
        </w:rPr>
        <w:t>城乡居民补充养老保险制度，是贯彻落实习近平总书记视察山西重要讲话重要指示、践行“两个维护”的具体表现，是山西省先行先试、在转型发展上蹚出一条新路来的重大举措。阳泉市于2021年1月1日起实施城乡居民补充养老保险制度，为确保实施到位，第一时间与县（区）确定补充险工作联络人，并按照省要求的时间节点出台相关文件。市、县（区）两级经办机构抽调业务骨干以社区（村）社保协办员为重点对象开展补充养老保险经办服务专题培训班；积极开展宣传，通过发放宣传资料、电台直播、制作小视频等方式增强补充险宣传力度，为补充险工作顺利开展打下坚实的基础。截至2021年底，阳泉市补充险参保人数为456139人，占基本险参保人数的95.42%，其中缴费人数为155419人，缴费率为43.97%，位居全省第三，补充险待遇领取人数为105910人，待遇领取率达98.31%。</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outlineLvl w:val="0"/>
        <w:rPr>
          <w:rFonts w:hint="eastAsia" w:ascii="黑体" w:hAnsi="黑体" w:eastAsia="黑体" w:cs="黑体"/>
          <w:bCs/>
          <w:sz w:val="32"/>
          <w:szCs w:val="32"/>
        </w:rPr>
      </w:pPr>
      <w:bookmarkStart w:id="7" w:name="_Toc25242"/>
      <w:bookmarkStart w:id="8" w:name="_Toc30522"/>
      <w:r>
        <w:rPr>
          <w:rFonts w:hint="eastAsia" w:ascii="黑体" w:hAnsi="黑体" w:eastAsia="黑体" w:cs="黑体"/>
          <w:bCs/>
          <w:sz w:val="32"/>
          <w:szCs w:val="32"/>
          <w:lang w:val="en-US" w:eastAsia="zh-CN"/>
        </w:rPr>
        <w:t>三</w:t>
      </w:r>
      <w:r>
        <w:rPr>
          <w:rFonts w:hint="eastAsia" w:ascii="黑体" w:hAnsi="黑体" w:eastAsia="黑体" w:cs="黑体"/>
          <w:bCs/>
          <w:sz w:val="32"/>
          <w:szCs w:val="32"/>
        </w:rPr>
        <w:t>、存在的问题</w:t>
      </w:r>
      <w:bookmarkEnd w:id="7"/>
      <w:bookmarkEnd w:id="8"/>
      <w:r>
        <w:rPr>
          <w:rStyle w:val="84"/>
          <w:rFonts w:hint="eastAsia" w:ascii="黑体" w:hAnsi="黑体" w:eastAsia="黑体" w:cs="黑体"/>
          <w:caps w:val="0"/>
          <w:smallCaps w:val="0"/>
          <w:sz w:val="32"/>
          <w:szCs w:val="32"/>
        </w:rPr>
        <w:t>及原因分析</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楷体" w:hAnsi="楷体" w:eastAsia="楷体" w:cs="楷体"/>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rPr>
        <w:t>）</w:t>
      </w:r>
      <w:r>
        <w:rPr>
          <w:rFonts w:hint="eastAsia" w:ascii="楷体" w:hAnsi="楷体" w:eastAsia="楷体" w:cs="楷体"/>
          <w:bCs/>
          <w:sz w:val="32"/>
          <w:szCs w:val="32"/>
          <w:lang w:val="en-US" w:eastAsia="zh-CN"/>
        </w:rPr>
        <w:t>核心业务能力待提升</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关于2021年全省人力资源和社会保障事业发展计划完成情况的通报</w:t>
      </w:r>
      <w:r>
        <w:rPr>
          <w:rFonts w:hint="eastAsia" w:ascii="仿宋_GB2312" w:hAnsi="仿宋_GB2312" w:eastAsia="仿宋_GB2312" w:cs="仿宋_GB2312"/>
          <w:sz w:val="32"/>
          <w:szCs w:val="32"/>
          <w:lang w:eastAsia="zh-CN"/>
        </w:rPr>
        <w:t>》（晋人社厅函〔2022〕125 号）</w:t>
      </w:r>
      <w:r>
        <w:rPr>
          <w:rFonts w:hint="eastAsia" w:ascii="仿宋_GB2312" w:hAnsi="仿宋_GB2312" w:eastAsia="仿宋_GB2312" w:cs="仿宋_GB2312"/>
          <w:sz w:val="32"/>
          <w:szCs w:val="32"/>
          <w:lang w:val="en-US" w:eastAsia="zh-CN"/>
        </w:rPr>
        <w:t>显示，全省11个市就业、社会保险、人才队伍建设、劳动关系协调、收入分配及能力建设方面的完成情况，阳泉市在人社事业发展考核的29项指标中，完成计划任务27项。完成计划的指标中，企业养老保险、</w:t>
      </w:r>
      <w:r>
        <w:rPr>
          <w:rFonts w:hint="eastAsia" w:ascii="仿宋_GB2312" w:hAnsi="仿宋_GB2312" w:eastAsia="仿宋_GB2312" w:cs="仿宋_GB2312"/>
          <w:bCs/>
          <w:sz w:val="32"/>
          <w:szCs w:val="32"/>
          <w:lang w:val="en-US" w:eastAsia="zh-CN"/>
        </w:rPr>
        <w:t>城乡居民基本养老保险参保覆盖面、新增技能人才数等排名均处于全省末位，城镇新增就业人数及登记失业率水平在全省排名第8、9位，排名相对靠后。评价认为，阳泉市在就业水平、社保覆盖面及人才技能培养等方面水平有待提升。</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w:t>
      </w:r>
      <w:r>
        <w:rPr>
          <w:rFonts w:hint="eastAsia" w:ascii="楷体" w:hAnsi="楷体" w:eastAsia="楷体" w:cs="楷体"/>
          <w:bCs/>
          <w:sz w:val="32"/>
          <w:szCs w:val="32"/>
          <w:lang w:val="en-US" w:eastAsia="zh-CN"/>
        </w:rPr>
        <w:t>下属事业单位人员空编情况普遍</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firstLine="640" w:firstLineChars="200"/>
        <w:contextualSpacing/>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32"/>
          <w:lang w:val="en-US" w:eastAsia="zh-CN"/>
        </w:rPr>
        <w:t>评价发现，</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人社局7个下属事业单位中，有劳动保障监察综合行政执法队、公共就业和人才服务中心等6个单位存在不同程度空编情况，大部分单位空编率超出20%（见表3）。评价调查也证实，基层单位业务经办人员不足，个别岗位存在身兼多职情况</w:t>
      </w:r>
      <w:r>
        <w:rPr>
          <w:rFonts w:hint="eastAsia" w:ascii="仿宋_GB2312" w:hAnsi="仿宋_GB2312" w:eastAsia="仿宋_GB2312" w:cs="仿宋_GB2312"/>
          <w:sz w:val="32"/>
          <w:szCs w:val="28"/>
        </w:rPr>
        <w:t>。</w:t>
      </w:r>
    </w:p>
    <w:p>
      <w:pPr>
        <w:pStyle w:val="41"/>
        <w:keepNext w:val="0"/>
        <w:keepLines w:val="0"/>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lang w:val="en-US" w:eastAsia="zh-CN"/>
        </w:rPr>
      </w:pPr>
      <w:r>
        <w:rPr>
          <w:rFonts w:hint="eastAsia" w:ascii="Times New Roman" w:hAnsi="Times New Roman" w:eastAsia="黑体" w:cs="黑体"/>
          <w:sz w:val="28"/>
          <w:szCs w:val="28"/>
          <w:lang w:val="en-US" w:eastAsia="zh-CN"/>
        </w:rPr>
        <w:t>表3 人社局下属单位人员情况</w:t>
      </w:r>
    </w:p>
    <w:tbl>
      <w:tblPr>
        <w:tblStyle w:val="33"/>
        <w:tblW w:w="4854" w:type="pct"/>
        <w:tblInd w:w="1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16"/>
        <w:gridCol w:w="1404"/>
        <w:gridCol w:w="1434"/>
        <w:gridCol w:w="1148"/>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tcBorders>
              <w:top w:val="single" w:color="auto" w:sz="12" w:space="0"/>
              <w:bottom w:val="single" w:color="auto" w:sz="6" w:space="0"/>
            </w:tcBorders>
            <w:shd w:val="pct25"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b/>
                <w:bCs/>
                <w:sz w:val="20"/>
              </w:rPr>
            </w:pPr>
            <w:r>
              <w:rPr>
                <w:rFonts w:hint="eastAsia" w:ascii="Times New Roman" w:hAnsi="Times New Roman"/>
                <w:b/>
                <w:bCs/>
                <w:sz w:val="20"/>
              </w:rPr>
              <w:t>单位名称</w:t>
            </w:r>
          </w:p>
        </w:tc>
        <w:tc>
          <w:tcPr>
            <w:tcW w:w="798" w:type="pct"/>
            <w:tcBorders>
              <w:top w:val="single" w:color="auto" w:sz="12" w:space="0"/>
              <w:bottom w:val="single" w:color="auto" w:sz="6" w:space="0"/>
            </w:tcBorders>
            <w:shd w:val="pct25"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rPr>
            </w:pPr>
            <w:r>
              <w:rPr>
                <w:rFonts w:hint="eastAsia" w:ascii="Times New Roman" w:hAnsi="Times New Roman" w:cs="宋体"/>
                <w:b/>
                <w:bCs/>
                <w:color w:val="000000"/>
                <w:kern w:val="0"/>
                <w:sz w:val="20"/>
              </w:rPr>
              <w:t>编制人数</w:t>
            </w:r>
          </w:p>
        </w:tc>
        <w:tc>
          <w:tcPr>
            <w:tcW w:w="815" w:type="pct"/>
            <w:tcBorders>
              <w:top w:val="single" w:color="auto" w:sz="12" w:space="0"/>
              <w:bottom w:val="single" w:color="auto" w:sz="6" w:space="0"/>
            </w:tcBorders>
            <w:shd w:val="pct25"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color w:val="000000"/>
                <w:kern w:val="0"/>
                <w:sz w:val="20"/>
              </w:rPr>
            </w:pPr>
            <w:r>
              <w:rPr>
                <w:rFonts w:hint="eastAsia" w:ascii="Times New Roman" w:hAnsi="Times New Roman" w:cs="宋体"/>
                <w:b/>
                <w:bCs/>
                <w:color w:val="000000"/>
                <w:kern w:val="0"/>
                <w:sz w:val="20"/>
              </w:rPr>
              <w:t>实有在职人数</w:t>
            </w:r>
          </w:p>
        </w:tc>
        <w:tc>
          <w:tcPr>
            <w:tcW w:w="652" w:type="pct"/>
            <w:tcBorders>
              <w:top w:val="single" w:color="auto" w:sz="12" w:space="0"/>
              <w:bottom w:val="single" w:color="auto" w:sz="6" w:space="0"/>
            </w:tcBorders>
            <w:shd w:val="pct25"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b/>
                <w:bCs/>
                <w:kern w:val="0"/>
                <w:sz w:val="20"/>
              </w:rPr>
            </w:pPr>
            <w:r>
              <w:rPr>
                <w:rFonts w:hint="eastAsia" w:ascii="Times New Roman" w:hAnsi="Times New Roman" w:cs="宋体"/>
                <w:b/>
                <w:bCs/>
                <w:kern w:val="0"/>
                <w:sz w:val="20"/>
                <w:lang w:val="en-US" w:eastAsia="zh-CN"/>
              </w:rPr>
              <w:t>空编</w:t>
            </w:r>
            <w:r>
              <w:rPr>
                <w:rFonts w:hint="eastAsia" w:ascii="Times New Roman" w:hAnsi="Times New Roman" w:cs="宋体"/>
                <w:b/>
                <w:bCs/>
                <w:kern w:val="0"/>
                <w:sz w:val="20"/>
              </w:rPr>
              <w:t>数</w:t>
            </w:r>
          </w:p>
        </w:tc>
        <w:tc>
          <w:tcPr>
            <w:tcW w:w="791" w:type="pct"/>
            <w:tcBorders>
              <w:top w:val="single" w:color="auto" w:sz="12" w:space="0"/>
              <w:bottom w:val="single" w:color="auto" w:sz="6" w:space="0"/>
            </w:tcBorders>
            <w:shd w:val="pct25"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cs="宋体"/>
                <w:b/>
                <w:bCs/>
                <w:kern w:val="0"/>
                <w:sz w:val="20"/>
                <w:lang w:val="en-US" w:eastAsia="zh-CN"/>
              </w:rPr>
            </w:pPr>
            <w:r>
              <w:rPr>
                <w:rFonts w:hint="eastAsia" w:ascii="Times New Roman" w:hAnsi="Times New Roman" w:cs="宋体"/>
                <w:b/>
                <w:bCs/>
                <w:kern w:val="0"/>
                <w:sz w:val="20"/>
                <w:lang w:val="en-US" w:eastAsia="zh-CN"/>
              </w:rPr>
              <w:t>空编率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tcBorders>
              <w:top w:val="single" w:color="auto" w:sz="6" w:space="0"/>
            </w:tcBorders>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sz w:val="20"/>
              </w:rPr>
            </w:pPr>
            <w:r>
              <w:rPr>
                <w:rFonts w:hint="eastAsia" w:ascii="Times New Roman" w:hAnsi="Times New Roman"/>
                <w:sz w:val="20"/>
              </w:rPr>
              <w:t>阳泉市人力资源和社会保障局</w:t>
            </w:r>
          </w:p>
        </w:tc>
        <w:tc>
          <w:tcPr>
            <w:tcW w:w="798" w:type="pct"/>
            <w:tcBorders>
              <w:top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3</w:t>
            </w:r>
            <w:r>
              <w:rPr>
                <w:rFonts w:ascii="Times New Roman" w:hAnsi="Times New Roman" w:cs="宋体"/>
                <w:color w:val="000000"/>
                <w:kern w:val="0"/>
                <w:sz w:val="20"/>
              </w:rPr>
              <w:t>5</w:t>
            </w:r>
          </w:p>
        </w:tc>
        <w:tc>
          <w:tcPr>
            <w:tcW w:w="815" w:type="pct"/>
            <w:tcBorders>
              <w:top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3</w:t>
            </w:r>
            <w:r>
              <w:rPr>
                <w:rFonts w:ascii="Times New Roman" w:hAnsi="Times New Roman" w:cs="宋体"/>
                <w:color w:val="000000"/>
                <w:kern w:val="0"/>
                <w:sz w:val="20"/>
              </w:rPr>
              <w:t>6</w:t>
            </w:r>
          </w:p>
        </w:tc>
        <w:tc>
          <w:tcPr>
            <w:tcW w:w="652" w:type="pct"/>
            <w:tcBorders>
              <w:top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w:t>
            </w:r>
          </w:p>
        </w:tc>
        <w:tc>
          <w:tcPr>
            <w:tcW w:w="791" w:type="pct"/>
            <w:tcBorders>
              <w:top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阳泉市劳动保障监察综合行政执法队</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3</w:t>
            </w:r>
            <w:r>
              <w:rPr>
                <w:rFonts w:ascii="Times New Roman" w:hAnsi="Times New Roman" w:cs="宋体"/>
                <w:color w:val="000000"/>
                <w:kern w:val="0"/>
                <w:sz w:val="20"/>
              </w:rPr>
              <w:t>5</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2</w:t>
            </w:r>
            <w:r>
              <w:rPr>
                <w:rFonts w:ascii="Times New Roman" w:hAnsi="Times New Roman" w:cs="宋体"/>
                <w:color w:val="000000"/>
                <w:kern w:val="0"/>
                <w:sz w:val="20"/>
              </w:rPr>
              <w:t>9</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kern w:val="0"/>
                <w:sz w:val="20"/>
                <w:lang w:val="en-US" w:eastAsia="zh-CN"/>
              </w:rPr>
            </w:pPr>
            <w:r>
              <w:rPr>
                <w:rFonts w:hint="eastAsia" w:ascii="Times New Roman" w:hAnsi="Times New Roman" w:cs="宋体"/>
                <w:kern w:val="0"/>
                <w:sz w:val="20"/>
                <w:lang w:val="en-US" w:eastAsia="zh-CN"/>
              </w:rPr>
              <w:t>6</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阳泉市职业技能评价服务中心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8</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3</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5</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阳泉市创业服务中心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6</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1</w:t>
            </w:r>
            <w:r>
              <w:rPr>
                <w:rFonts w:ascii="Times New Roman" w:hAnsi="Times New Roman" w:cs="宋体"/>
                <w:color w:val="000000"/>
                <w:kern w:val="0"/>
                <w:sz w:val="20"/>
              </w:rPr>
              <w:t>1</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阳泉市社会保障网络管理中心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6</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4</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2</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阳泉市公共就业和人才服务中心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3</w:t>
            </w:r>
            <w:r>
              <w:rPr>
                <w:rFonts w:ascii="Times New Roman" w:hAnsi="Times New Roman" w:cs="宋体"/>
                <w:color w:val="000000"/>
                <w:kern w:val="0"/>
                <w:sz w:val="20"/>
              </w:rPr>
              <w:t>9</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2</w:t>
            </w:r>
            <w:r>
              <w:rPr>
                <w:rFonts w:ascii="Times New Roman" w:hAnsi="Times New Roman" w:cs="宋体"/>
                <w:color w:val="000000"/>
                <w:kern w:val="0"/>
                <w:sz w:val="20"/>
              </w:rPr>
              <w:t>9</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kern w:val="0"/>
                <w:sz w:val="20"/>
                <w:lang w:val="en-US" w:eastAsia="zh-CN"/>
              </w:rPr>
            </w:pPr>
            <w:r>
              <w:rPr>
                <w:rFonts w:hint="eastAsia" w:ascii="Times New Roman" w:hAnsi="Times New Roman" w:cs="宋体"/>
                <w:kern w:val="0"/>
                <w:sz w:val="20"/>
                <w:lang w:val="en-US" w:eastAsia="zh-CN"/>
              </w:rPr>
              <w:t>10</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阳泉市人事考试中心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1</w:t>
            </w:r>
            <w:r>
              <w:rPr>
                <w:rFonts w:ascii="Times New Roman" w:hAnsi="Times New Roman" w:cs="宋体"/>
                <w:color w:val="000000"/>
                <w:kern w:val="0"/>
                <w:sz w:val="20"/>
              </w:rPr>
              <w:t>9</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1</w:t>
            </w:r>
            <w:r>
              <w:rPr>
                <w:rFonts w:ascii="Times New Roman" w:hAnsi="Times New Roman" w:cs="宋体"/>
                <w:color w:val="000000"/>
                <w:kern w:val="0"/>
                <w:sz w:val="20"/>
              </w:rPr>
              <w:t>3</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kern w:val="0"/>
                <w:sz w:val="20"/>
                <w:lang w:val="en-US" w:eastAsia="zh-CN"/>
              </w:rPr>
            </w:pPr>
            <w:r>
              <w:rPr>
                <w:rFonts w:hint="eastAsia" w:ascii="Times New Roman" w:hAnsi="Times New Roman" w:cs="宋体"/>
                <w:kern w:val="0"/>
                <w:sz w:val="20"/>
                <w:lang w:val="en-US" w:eastAsia="zh-CN"/>
              </w:rPr>
              <w:t>6</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1" w:type="pct"/>
            <w:shd w:val="clear" w:color="auto" w:fill="auto"/>
            <w:noWra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kern w:val="0"/>
                <w:sz w:val="20"/>
              </w:rPr>
            </w:pPr>
            <w:r>
              <w:rPr>
                <w:rFonts w:hint="eastAsia" w:ascii="Times New Roman" w:hAnsi="Times New Roman"/>
                <w:sz w:val="20"/>
              </w:rPr>
              <w:t>阳泉市社会保险中心</w:t>
            </w:r>
          </w:p>
        </w:tc>
        <w:tc>
          <w:tcPr>
            <w:tcW w:w="7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6</w:t>
            </w:r>
            <w:r>
              <w:rPr>
                <w:rFonts w:ascii="Times New Roman" w:hAnsi="Times New Roman" w:cs="宋体"/>
                <w:color w:val="000000"/>
                <w:kern w:val="0"/>
                <w:sz w:val="20"/>
              </w:rPr>
              <w:t>9</w:t>
            </w:r>
          </w:p>
        </w:tc>
        <w:tc>
          <w:tcPr>
            <w:tcW w:w="815"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Times New Roman" w:hAnsi="Times New Roman" w:cs="宋体"/>
                <w:color w:val="000000"/>
                <w:kern w:val="0"/>
                <w:sz w:val="20"/>
              </w:rPr>
            </w:pPr>
            <w:r>
              <w:rPr>
                <w:rFonts w:hint="eastAsia" w:ascii="Times New Roman" w:hAnsi="Times New Roman" w:cs="宋体"/>
                <w:color w:val="000000"/>
                <w:kern w:val="0"/>
                <w:sz w:val="20"/>
              </w:rPr>
              <w:t>5</w:t>
            </w:r>
            <w:r>
              <w:rPr>
                <w:rFonts w:ascii="Times New Roman" w:hAnsi="Times New Roman" w:cs="宋体"/>
                <w:color w:val="000000"/>
                <w:kern w:val="0"/>
                <w:sz w:val="20"/>
              </w:rPr>
              <w:t>9</w:t>
            </w:r>
          </w:p>
        </w:tc>
        <w:tc>
          <w:tcPr>
            <w:tcW w:w="652"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宋体"/>
                <w:kern w:val="0"/>
                <w:sz w:val="20"/>
                <w:lang w:val="en-US" w:eastAsia="zh-CN"/>
              </w:rPr>
            </w:pPr>
            <w:r>
              <w:rPr>
                <w:rFonts w:hint="eastAsia" w:ascii="Times New Roman" w:hAnsi="Times New Roman" w:cs="宋体"/>
                <w:kern w:val="0"/>
                <w:sz w:val="20"/>
                <w:lang w:val="en-US" w:eastAsia="zh-CN"/>
              </w:rPr>
              <w:t>10</w:t>
            </w:r>
          </w:p>
        </w:tc>
        <w:tc>
          <w:tcPr>
            <w:tcW w:w="791" w:type="pc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cs="宋体"/>
                <w:kern w:val="0"/>
                <w:sz w:val="20"/>
                <w:lang w:val="en-US" w:eastAsia="zh-CN"/>
              </w:rPr>
            </w:pPr>
            <w:r>
              <w:rPr>
                <w:rFonts w:hint="eastAsia" w:ascii="Times New Roman" w:hAnsi="Times New Roman" w:cs="宋体"/>
                <w:kern w:val="0"/>
                <w:sz w:val="20"/>
                <w:lang w:val="en-US" w:eastAsia="zh-CN"/>
              </w:rPr>
              <w:t>14%</w:t>
            </w:r>
          </w:p>
        </w:tc>
      </w:tr>
    </w:tbl>
    <w:p>
      <w:pPr>
        <w:keepNext w:val="0"/>
        <w:keepLines w:val="0"/>
        <w:pageBreakBefore w:val="0"/>
        <w:widowControl w:val="0"/>
        <w:tabs>
          <w:tab w:val="left" w:pos="1276"/>
        </w:tabs>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val="en-US" w:eastAsia="zh-CN"/>
        </w:rPr>
      </w:pPr>
      <w:r>
        <w:rPr>
          <w:rFonts w:hint="eastAsia" w:ascii="楷体" w:hAnsi="楷体" w:eastAsia="楷体" w:cs="楷体"/>
          <w:bCs/>
          <w:color w:val="auto"/>
          <w:sz w:val="32"/>
          <w:szCs w:val="32"/>
          <w:lang w:val="en-US" w:eastAsia="zh-CN"/>
        </w:rPr>
        <w:t>（三）部分下属单位预算调整率较高</w:t>
      </w:r>
    </w:p>
    <w:p>
      <w:pPr>
        <w:keepNext w:val="0"/>
        <w:keepLines w:val="0"/>
        <w:pageBreakBefore w:val="0"/>
        <w:widowControl w:val="0"/>
        <w:numPr>
          <w:ilvl w:val="0"/>
          <w:numId w:val="0"/>
        </w:numPr>
        <w:tabs>
          <w:tab w:val="left" w:pos="1276"/>
        </w:tabs>
        <w:kinsoku/>
        <w:wordWrap/>
        <w:overflowPunct/>
        <w:topLinePunct w:val="0"/>
        <w:autoSpaceDE/>
        <w:autoSpaceDN/>
        <w:bidi w:val="0"/>
        <w:adjustRightInd/>
        <w:snapToGrid/>
        <w:spacing w:line="560" w:lineRule="exact"/>
        <w:ind w:firstLine="640" w:firstLineChars="200"/>
        <w:contextualSpacing/>
        <w:textAlignment w:val="auto"/>
        <w:outlineLvl w:val="9"/>
        <w:rPr>
          <w:rFonts w:hint="eastAsia" w:ascii="仿宋_GB2312" w:hAnsi="仿宋_GB2312" w:eastAsia="仿宋_GB2312" w:cs="仿宋_GB2312"/>
          <w:bCs/>
          <w:sz w:val="32"/>
          <w:szCs w:val="32"/>
          <w:lang w:val="en-US"/>
        </w:rPr>
      </w:pPr>
      <w:r>
        <w:rPr>
          <w:rFonts w:hint="eastAsia" w:ascii="仿宋_GB2312" w:hAnsi="仿宋_GB2312" w:eastAsia="仿宋_GB2312" w:cs="仿宋_GB2312"/>
          <w:kern w:val="2"/>
          <w:sz w:val="32"/>
          <w:szCs w:val="32"/>
          <w:lang w:val="en-US" w:eastAsia="zh-CN" w:bidi="ar-SA"/>
        </w:rPr>
        <w:t>评价发现，阳泉市人社局部分下属事业单位2021年预算调整较高，预算执行有待加强。根据部门预算支出数据显示，阳泉市公共就业和人才服务中心预算调整率为14.13%、阳泉市人事考试中心预</w:t>
      </w:r>
      <w:bookmarkStart w:id="11" w:name="_GoBack"/>
      <w:bookmarkEnd w:id="11"/>
      <w:r>
        <w:rPr>
          <w:rFonts w:hint="eastAsia" w:ascii="仿宋_GB2312" w:hAnsi="仿宋_GB2312" w:eastAsia="仿宋_GB2312" w:cs="仿宋_GB2312"/>
          <w:kern w:val="2"/>
          <w:sz w:val="32"/>
          <w:szCs w:val="32"/>
          <w:lang w:val="en-US" w:eastAsia="zh-CN" w:bidi="ar-SA"/>
        </w:rPr>
        <w:t>算调整率为</w:t>
      </w:r>
      <w:r>
        <w:rPr>
          <w:rFonts w:hint="eastAsia" w:ascii="仿宋_GB2312" w:hAnsi="仿宋_GB2312" w:eastAsia="仿宋_GB2312" w:cs="仿宋_GB2312"/>
          <w:color w:val="auto"/>
          <w:kern w:val="2"/>
          <w:sz w:val="32"/>
          <w:szCs w:val="32"/>
          <w:lang w:val="en-US" w:eastAsia="zh-CN" w:bidi="ar-SA"/>
        </w:rPr>
        <w:t>-32.06%，</w:t>
      </w:r>
      <w:r>
        <w:rPr>
          <w:rFonts w:hint="eastAsia" w:ascii="仿宋_GB2312" w:hAnsi="仿宋_GB2312" w:eastAsia="仿宋_GB2312" w:cs="仿宋_GB2312"/>
          <w:kern w:val="2"/>
          <w:sz w:val="32"/>
          <w:szCs w:val="32"/>
          <w:lang w:val="en-US" w:eastAsia="zh-CN" w:bidi="ar-SA"/>
        </w:rPr>
        <w:t>阳泉市社会保障网络管理中心43.55%。预算调整率较高的原因均为项目支出调整率较高，3家单位项目支出预算调整率分别为39.08%</w:t>
      </w:r>
      <w:r>
        <w:rPr>
          <w:rFonts w:hint="eastAsia" w:ascii="仿宋_GB2312" w:hAnsi="仿宋_GB2312" w:eastAsia="仿宋_GB2312" w:cs="仿宋_GB2312"/>
          <w:color w:val="auto"/>
          <w:kern w:val="2"/>
          <w:sz w:val="32"/>
          <w:szCs w:val="32"/>
          <w:lang w:val="en-US" w:eastAsia="zh-CN" w:bidi="ar-SA"/>
        </w:rPr>
        <w:t>、-40.00%、</w:t>
      </w:r>
      <w:r>
        <w:rPr>
          <w:rFonts w:hint="eastAsia" w:ascii="仿宋_GB2312" w:hAnsi="仿宋_GB2312" w:eastAsia="仿宋_GB2312" w:cs="仿宋_GB2312"/>
          <w:kern w:val="2"/>
          <w:sz w:val="32"/>
          <w:szCs w:val="32"/>
          <w:lang w:val="en-US" w:eastAsia="zh-CN" w:bidi="ar-SA"/>
        </w:rPr>
        <w:t>73.33%。</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黑体" w:hAnsi="黑体" w:eastAsia="黑体" w:cs="黑体"/>
          <w:bCs/>
          <w:sz w:val="32"/>
          <w:szCs w:val="32"/>
        </w:rPr>
      </w:pPr>
      <w:bookmarkStart w:id="9" w:name="_Toc17282"/>
      <w:bookmarkStart w:id="10" w:name="_Toc17496"/>
      <w:r>
        <w:rPr>
          <w:rFonts w:hint="eastAsia" w:ascii="黑体" w:hAnsi="黑体" w:eastAsia="黑体" w:cs="黑体"/>
          <w:bCs/>
          <w:sz w:val="32"/>
          <w:szCs w:val="32"/>
          <w:lang w:val="en-US" w:eastAsia="zh-CN"/>
        </w:rPr>
        <w:t>四</w:t>
      </w:r>
      <w:r>
        <w:rPr>
          <w:rFonts w:hint="eastAsia" w:ascii="黑体" w:hAnsi="黑体" w:eastAsia="黑体" w:cs="黑体"/>
          <w:bCs/>
          <w:sz w:val="32"/>
          <w:szCs w:val="32"/>
        </w:rPr>
        <w:t>、下一步改进意见</w:t>
      </w:r>
      <w:bookmarkEnd w:id="9"/>
      <w:bookmarkEnd w:id="10"/>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rPr>
        <w:t>（一）</w:t>
      </w:r>
      <w:r>
        <w:rPr>
          <w:rFonts w:hint="eastAsia" w:ascii="楷体" w:hAnsi="楷体" w:eastAsia="楷体" w:cs="楷体"/>
          <w:bCs/>
          <w:sz w:val="32"/>
          <w:szCs w:val="32"/>
          <w:lang w:val="en-US" w:eastAsia="zh-CN"/>
        </w:rPr>
        <w:t>立足部门核心职能</w:t>
      </w:r>
      <w:r>
        <w:rPr>
          <w:rFonts w:hint="eastAsia" w:ascii="楷体" w:hAnsi="楷体" w:eastAsia="楷体" w:cs="楷体"/>
          <w:bCs/>
          <w:sz w:val="32"/>
          <w:szCs w:val="32"/>
        </w:rPr>
        <w:t>，</w:t>
      </w:r>
      <w:r>
        <w:rPr>
          <w:rFonts w:hint="eastAsia" w:ascii="楷体" w:hAnsi="楷体" w:eastAsia="楷体" w:cs="楷体"/>
          <w:bCs/>
          <w:sz w:val="32"/>
          <w:szCs w:val="32"/>
          <w:lang w:val="en-US" w:eastAsia="zh-CN"/>
        </w:rPr>
        <w:t>提升人社事业发展水平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建议阳泉市人社局围绕部门核心职能，弥补就业、社会保障、人才队伍建设等发展弱势，实现人社事业高质量发展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就业保障方面，</w:t>
      </w:r>
      <w:r>
        <w:rPr>
          <w:rFonts w:hint="eastAsia" w:ascii="仿宋_GB2312" w:hAnsi="仿宋_GB2312" w:eastAsia="仿宋_GB2312" w:cs="仿宋_GB2312"/>
          <w:sz w:val="32"/>
          <w:szCs w:val="32"/>
        </w:rPr>
        <w:t>支持多渠道灵活就业和新就业形态发展，培育接续有力的就业新动能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发挥就业服务的促进作用，发挥经营性人力资源服务机构效能，同时，强化公共就业服务机构的兜底保障职能，有效解决社区和农村充分就业扩面难题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社会保障方面，要</w:t>
      </w:r>
      <w:r>
        <w:rPr>
          <w:rFonts w:hint="eastAsia" w:ascii="仿宋_GB2312" w:hAnsi="仿宋_GB2312" w:eastAsia="仿宋_GB2312" w:cs="仿宋_GB2312"/>
          <w:sz w:val="32"/>
          <w:szCs w:val="32"/>
        </w:rPr>
        <w:t>以非公经济人员和农民工、灵活就业和新业态就业人员为重点，扩大社会保险参保覆盖面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加强与公安、民政等部门的数据共享，确保社保基金安全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保障社保待遇支付；人才队伍建设方面，立足人才</w:t>
      </w:r>
      <w:r>
        <w:rPr>
          <w:rFonts w:hint="eastAsia" w:ascii="仿宋_GB2312" w:hAnsi="仿宋_GB2312" w:eastAsia="仿宋_GB2312" w:cs="仿宋_GB2312"/>
          <w:sz w:val="32"/>
          <w:szCs w:val="32"/>
        </w:rPr>
        <w:t>引进、培养、评价、激励四个环节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持续推进专业技术人才和高技能人才队伍建设，为</w:t>
      </w:r>
      <w:r>
        <w:rPr>
          <w:rFonts w:hint="eastAsia" w:ascii="仿宋_GB2312" w:hAnsi="仿宋_GB2312" w:eastAsia="仿宋_GB2312" w:cs="仿宋_GB2312"/>
          <w:sz w:val="32"/>
          <w:szCs w:val="32"/>
          <w:lang w:val="en-US" w:eastAsia="zh-CN"/>
        </w:rPr>
        <w:t>阳泉</w:t>
      </w:r>
      <w:r>
        <w:rPr>
          <w:rFonts w:hint="eastAsia" w:ascii="仿宋_GB2312" w:hAnsi="仿宋_GB2312" w:eastAsia="仿宋_GB2312" w:cs="仿宋_GB2312"/>
          <w:sz w:val="32"/>
          <w:szCs w:val="32"/>
        </w:rPr>
        <w:t>市实现全方位高质量发展提供强有力人才支撑</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（二）</w:t>
      </w:r>
      <w:r>
        <w:rPr>
          <w:rFonts w:hint="eastAsia" w:ascii="楷体" w:hAnsi="楷体" w:eastAsia="楷体" w:cs="楷体"/>
          <w:sz w:val="32"/>
          <w:szCs w:val="32"/>
          <w:lang w:val="en-US" w:eastAsia="zh-CN"/>
        </w:rPr>
        <w:t>采取招录人员措施，加强人社队伍建设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阳泉市人社局及各下属单位结合本单位实际需要，</w:t>
      </w:r>
      <w:r>
        <w:rPr>
          <w:rFonts w:hint="eastAsia" w:ascii="仿宋_GB2312" w:hAnsi="仿宋_GB2312" w:eastAsia="仿宋_GB2312" w:cs="仿宋_GB2312"/>
          <w:sz w:val="32"/>
          <w:szCs w:val="32"/>
        </w:rPr>
        <w:t>通过公务员考录、事业编制招聘、干部交流等途径及时补充人员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扩大基层工作人员队伍。其次，要建立健全基层岗位人员薪酬、晋升激励机制，</w:t>
      </w:r>
      <w:r>
        <w:rPr>
          <w:rFonts w:hint="eastAsia" w:ascii="仿宋_GB2312" w:hAnsi="仿宋_GB2312" w:eastAsia="仿宋_GB2312" w:cs="仿宋_GB2312"/>
          <w:sz w:val="32"/>
          <w:szCs w:val="32"/>
        </w:rPr>
        <w:t>提高基层</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的物质和政治待遇，</w:t>
      </w:r>
      <w:r>
        <w:rPr>
          <w:rFonts w:hint="eastAsia" w:ascii="仿宋_GB2312" w:hAnsi="仿宋_GB2312" w:eastAsia="仿宋_GB2312" w:cs="仿宋_GB2312"/>
          <w:sz w:val="32"/>
          <w:szCs w:val="32"/>
          <w:lang w:val="en-US" w:eastAsia="zh-CN"/>
        </w:rPr>
        <w:t>增加岗位吸引力，促进人才向基层岗位流动。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bCs/>
          <w:sz w:val="32"/>
          <w:szCs w:val="32"/>
          <w:lang w:val="en-US" w:eastAsia="zh-CN"/>
        </w:rPr>
        <w:t>细化部门预算，提高预算编制的精准性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阳泉市人社局一是在</w:t>
      </w:r>
      <w:r>
        <w:rPr>
          <w:rFonts w:hint="eastAsia" w:ascii="仿宋_GB2312" w:hAnsi="仿宋_GB2312" w:eastAsia="仿宋_GB2312" w:cs="仿宋_GB2312"/>
          <w:sz w:val="32"/>
          <w:szCs w:val="32"/>
        </w:rPr>
        <w:t>预算编制环节，</w:t>
      </w:r>
      <w:r>
        <w:rPr>
          <w:rFonts w:hint="eastAsia" w:ascii="仿宋_GB2312" w:hAnsi="仿宋_GB2312" w:eastAsia="仿宋_GB2312" w:cs="仿宋_GB2312"/>
          <w:bCs/>
          <w:sz w:val="32"/>
          <w:szCs w:val="32"/>
        </w:rPr>
        <w:t>细化部门预算编制，推进基本支出和项目支出预算编制的细化工作，将一些常态化的项目支出，根据往年项目实施情况并结合下一年度的工作计划合理确定任务和相应的资金量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努力提高预算精准性，降低预算调整率</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二是</w:t>
      </w:r>
      <w:r>
        <w:rPr>
          <w:rFonts w:hint="eastAsia" w:ascii="仿宋_GB2312" w:hAnsi="仿宋_GB2312" w:eastAsia="仿宋_GB2312" w:cs="仿宋_GB2312"/>
          <w:bCs/>
          <w:sz w:val="32"/>
          <w:szCs w:val="32"/>
        </w:rPr>
        <w:t>完善</w:t>
      </w:r>
      <w:r>
        <w:rPr>
          <w:rFonts w:hint="eastAsia" w:ascii="仿宋_GB2312" w:hAnsi="仿宋_GB2312" w:eastAsia="仿宋_GB2312" w:cs="仿宋_GB2312"/>
          <w:bCs/>
          <w:sz w:val="32"/>
          <w:szCs w:val="32"/>
          <w:lang w:val="en-US" w:eastAsia="zh-CN"/>
        </w:rPr>
        <w:t>部门内部</w:t>
      </w:r>
      <w:r>
        <w:rPr>
          <w:rFonts w:hint="eastAsia" w:ascii="仿宋_GB2312" w:hAnsi="仿宋_GB2312" w:eastAsia="仿宋_GB2312" w:cs="仿宋_GB2312"/>
          <w:bCs/>
          <w:sz w:val="32"/>
          <w:szCs w:val="32"/>
        </w:rPr>
        <w:t>日常公用经费和项目支出标准化体系，</w:t>
      </w:r>
      <w:r>
        <w:rPr>
          <w:rFonts w:hint="eastAsia" w:ascii="仿宋_GB2312" w:hAnsi="仿宋_GB2312" w:eastAsia="仿宋_GB2312" w:cs="仿宋_GB2312"/>
          <w:bCs/>
          <w:sz w:val="32"/>
          <w:szCs w:val="32"/>
          <w:lang w:val="en-US" w:eastAsia="zh-CN"/>
        </w:rPr>
        <w:t>能够覆盖本部门核心职能业务活动，做到申请的预算项目有相应的定额标准做支撑，不断提高资金配置效率。</w:t>
      </w:r>
    </w:p>
    <w:sectPr>
      <w:headerReference r:id="rId5" w:type="default"/>
      <w:footerReference r:id="rId7" w:type="default"/>
      <w:headerReference r:id="rId6" w:type="even"/>
      <w:footerReference r:id="rId8" w:type="even"/>
      <w:pgSz w:w="11906" w:h="16838"/>
      <w:pgMar w:top="2098" w:right="1531" w:bottom="1417"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23"/>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fldChar w:fldCharType="end"/>
                    </w:r>
                  </w:p>
                </w:txbxContent>
              </v:textbox>
            </v:shape>
          </w:pict>
        </mc:Fallback>
      </mc:AlternateContent>
    </w:r>
  </w:p>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rFonts w:ascii="仿宋_GB2312" w:eastAsia="仿宋_GB2312"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ascii="仿宋_GB2312" w:hAnsi="宋体"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A11E4"/>
    <w:multiLevelType w:val="multilevel"/>
    <w:tmpl w:val="E04A11E4"/>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80A2DF5"/>
    <w:multiLevelType w:val="multilevel"/>
    <w:tmpl w:val="580A2DF5"/>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105"/>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zU1NDU0Mjg2ZGRhNmVmNDQwNWU5ZTJmYWQ3ZTgifQ=="/>
  </w:docVars>
  <w:rsids>
    <w:rsidRoot w:val="00CE3E5E"/>
    <w:rsid w:val="00000310"/>
    <w:rsid w:val="000016E7"/>
    <w:rsid w:val="00001D18"/>
    <w:rsid w:val="0000347D"/>
    <w:rsid w:val="00003E29"/>
    <w:rsid w:val="000048E1"/>
    <w:rsid w:val="00004B85"/>
    <w:rsid w:val="00005C2A"/>
    <w:rsid w:val="00005E10"/>
    <w:rsid w:val="00005F5E"/>
    <w:rsid w:val="0000646C"/>
    <w:rsid w:val="00006FAD"/>
    <w:rsid w:val="00007DDA"/>
    <w:rsid w:val="00007DF9"/>
    <w:rsid w:val="000117FC"/>
    <w:rsid w:val="00013689"/>
    <w:rsid w:val="0001492E"/>
    <w:rsid w:val="00017041"/>
    <w:rsid w:val="000173DC"/>
    <w:rsid w:val="00020E02"/>
    <w:rsid w:val="00021467"/>
    <w:rsid w:val="00022B01"/>
    <w:rsid w:val="00023A3E"/>
    <w:rsid w:val="00023F03"/>
    <w:rsid w:val="00024ECA"/>
    <w:rsid w:val="00031905"/>
    <w:rsid w:val="00031D50"/>
    <w:rsid w:val="000320E9"/>
    <w:rsid w:val="0003306F"/>
    <w:rsid w:val="000338C3"/>
    <w:rsid w:val="00033E2E"/>
    <w:rsid w:val="000353EC"/>
    <w:rsid w:val="00037383"/>
    <w:rsid w:val="00040328"/>
    <w:rsid w:val="000405D7"/>
    <w:rsid w:val="00041FA4"/>
    <w:rsid w:val="000448AD"/>
    <w:rsid w:val="00044D9E"/>
    <w:rsid w:val="000451AC"/>
    <w:rsid w:val="0004559D"/>
    <w:rsid w:val="00045E12"/>
    <w:rsid w:val="000466C1"/>
    <w:rsid w:val="00046703"/>
    <w:rsid w:val="00046D05"/>
    <w:rsid w:val="00047300"/>
    <w:rsid w:val="0005168E"/>
    <w:rsid w:val="00051883"/>
    <w:rsid w:val="00052BC8"/>
    <w:rsid w:val="000530E7"/>
    <w:rsid w:val="00053715"/>
    <w:rsid w:val="000542B0"/>
    <w:rsid w:val="000547F1"/>
    <w:rsid w:val="000551BF"/>
    <w:rsid w:val="00055423"/>
    <w:rsid w:val="0005674E"/>
    <w:rsid w:val="000574F9"/>
    <w:rsid w:val="00057FE7"/>
    <w:rsid w:val="000602FE"/>
    <w:rsid w:val="000608E1"/>
    <w:rsid w:val="00061D25"/>
    <w:rsid w:val="00062F92"/>
    <w:rsid w:val="00063496"/>
    <w:rsid w:val="00063584"/>
    <w:rsid w:val="000658B7"/>
    <w:rsid w:val="00065957"/>
    <w:rsid w:val="00065A9F"/>
    <w:rsid w:val="00065B7E"/>
    <w:rsid w:val="00065C2F"/>
    <w:rsid w:val="00066594"/>
    <w:rsid w:val="0006672A"/>
    <w:rsid w:val="00067EB6"/>
    <w:rsid w:val="0007033F"/>
    <w:rsid w:val="00072CF3"/>
    <w:rsid w:val="000730DB"/>
    <w:rsid w:val="00073A53"/>
    <w:rsid w:val="00074BD1"/>
    <w:rsid w:val="00075438"/>
    <w:rsid w:val="000779CB"/>
    <w:rsid w:val="000808C5"/>
    <w:rsid w:val="00080951"/>
    <w:rsid w:val="000816ED"/>
    <w:rsid w:val="0008323E"/>
    <w:rsid w:val="000862A4"/>
    <w:rsid w:val="00093DFE"/>
    <w:rsid w:val="00094B64"/>
    <w:rsid w:val="00095B7E"/>
    <w:rsid w:val="00096646"/>
    <w:rsid w:val="00097CB8"/>
    <w:rsid w:val="00097F7E"/>
    <w:rsid w:val="000A1CDE"/>
    <w:rsid w:val="000A3297"/>
    <w:rsid w:val="000A6441"/>
    <w:rsid w:val="000B0F70"/>
    <w:rsid w:val="000B1467"/>
    <w:rsid w:val="000B25AF"/>
    <w:rsid w:val="000B27B5"/>
    <w:rsid w:val="000B431B"/>
    <w:rsid w:val="000B5092"/>
    <w:rsid w:val="000B6EFF"/>
    <w:rsid w:val="000B6F27"/>
    <w:rsid w:val="000C1061"/>
    <w:rsid w:val="000C2E57"/>
    <w:rsid w:val="000C3542"/>
    <w:rsid w:val="000C52CF"/>
    <w:rsid w:val="000C60ED"/>
    <w:rsid w:val="000C7C31"/>
    <w:rsid w:val="000D056C"/>
    <w:rsid w:val="000D14B7"/>
    <w:rsid w:val="000D26C0"/>
    <w:rsid w:val="000D2918"/>
    <w:rsid w:val="000D2B09"/>
    <w:rsid w:val="000D4CAD"/>
    <w:rsid w:val="000D5633"/>
    <w:rsid w:val="000D5EDC"/>
    <w:rsid w:val="000E0D77"/>
    <w:rsid w:val="000E3CF3"/>
    <w:rsid w:val="000E44B7"/>
    <w:rsid w:val="000E54B9"/>
    <w:rsid w:val="000E5F49"/>
    <w:rsid w:val="000E7D96"/>
    <w:rsid w:val="000E7DB9"/>
    <w:rsid w:val="000F072E"/>
    <w:rsid w:val="000F0A81"/>
    <w:rsid w:val="000F1F3E"/>
    <w:rsid w:val="000F259F"/>
    <w:rsid w:val="000F282C"/>
    <w:rsid w:val="000F30C3"/>
    <w:rsid w:val="000F3BBF"/>
    <w:rsid w:val="000F3E34"/>
    <w:rsid w:val="000F43F6"/>
    <w:rsid w:val="000F67CE"/>
    <w:rsid w:val="001000F5"/>
    <w:rsid w:val="00101150"/>
    <w:rsid w:val="00101543"/>
    <w:rsid w:val="00102E0C"/>
    <w:rsid w:val="00102E4A"/>
    <w:rsid w:val="001031FA"/>
    <w:rsid w:val="0010392E"/>
    <w:rsid w:val="00103D75"/>
    <w:rsid w:val="00103E11"/>
    <w:rsid w:val="00104121"/>
    <w:rsid w:val="00104CFD"/>
    <w:rsid w:val="001058D1"/>
    <w:rsid w:val="00110B29"/>
    <w:rsid w:val="001126C8"/>
    <w:rsid w:val="00112E4A"/>
    <w:rsid w:val="0011346D"/>
    <w:rsid w:val="00114445"/>
    <w:rsid w:val="0011510F"/>
    <w:rsid w:val="00115AD1"/>
    <w:rsid w:val="00115D9E"/>
    <w:rsid w:val="001160BF"/>
    <w:rsid w:val="0011671C"/>
    <w:rsid w:val="001168A7"/>
    <w:rsid w:val="00117A85"/>
    <w:rsid w:val="00117C4C"/>
    <w:rsid w:val="0012134E"/>
    <w:rsid w:val="00122E72"/>
    <w:rsid w:val="0012343C"/>
    <w:rsid w:val="00123832"/>
    <w:rsid w:val="001244AF"/>
    <w:rsid w:val="001259CD"/>
    <w:rsid w:val="00127BF8"/>
    <w:rsid w:val="00130BC9"/>
    <w:rsid w:val="00130C0C"/>
    <w:rsid w:val="00131161"/>
    <w:rsid w:val="00131A28"/>
    <w:rsid w:val="00132E5D"/>
    <w:rsid w:val="00133714"/>
    <w:rsid w:val="001337A5"/>
    <w:rsid w:val="00136764"/>
    <w:rsid w:val="00141D1F"/>
    <w:rsid w:val="00142CAB"/>
    <w:rsid w:val="00142FDA"/>
    <w:rsid w:val="00146CF9"/>
    <w:rsid w:val="00146D14"/>
    <w:rsid w:val="001476CC"/>
    <w:rsid w:val="0015059C"/>
    <w:rsid w:val="00152C62"/>
    <w:rsid w:val="0015337D"/>
    <w:rsid w:val="0015493C"/>
    <w:rsid w:val="00155144"/>
    <w:rsid w:val="0015529B"/>
    <w:rsid w:val="0015585F"/>
    <w:rsid w:val="00155C8F"/>
    <w:rsid w:val="001618A0"/>
    <w:rsid w:val="00162B0C"/>
    <w:rsid w:val="0016415E"/>
    <w:rsid w:val="00164712"/>
    <w:rsid w:val="00167009"/>
    <w:rsid w:val="00167463"/>
    <w:rsid w:val="001707FF"/>
    <w:rsid w:val="00170E6E"/>
    <w:rsid w:val="00170FB5"/>
    <w:rsid w:val="00173F48"/>
    <w:rsid w:val="00174720"/>
    <w:rsid w:val="00174825"/>
    <w:rsid w:val="0017524D"/>
    <w:rsid w:val="001757AF"/>
    <w:rsid w:val="0017672E"/>
    <w:rsid w:val="00180B35"/>
    <w:rsid w:val="00180BCF"/>
    <w:rsid w:val="0018147E"/>
    <w:rsid w:val="0018182D"/>
    <w:rsid w:val="001832DA"/>
    <w:rsid w:val="00183A8A"/>
    <w:rsid w:val="001851D3"/>
    <w:rsid w:val="00191CAB"/>
    <w:rsid w:val="00192E63"/>
    <w:rsid w:val="001938ED"/>
    <w:rsid w:val="00193A27"/>
    <w:rsid w:val="001942EE"/>
    <w:rsid w:val="001956AF"/>
    <w:rsid w:val="00195C4F"/>
    <w:rsid w:val="00197009"/>
    <w:rsid w:val="00197D25"/>
    <w:rsid w:val="00197D34"/>
    <w:rsid w:val="001A0580"/>
    <w:rsid w:val="001A0652"/>
    <w:rsid w:val="001A1E79"/>
    <w:rsid w:val="001A2629"/>
    <w:rsid w:val="001A2A5D"/>
    <w:rsid w:val="001A51B3"/>
    <w:rsid w:val="001A53EB"/>
    <w:rsid w:val="001A59CC"/>
    <w:rsid w:val="001A623F"/>
    <w:rsid w:val="001A671E"/>
    <w:rsid w:val="001A68AE"/>
    <w:rsid w:val="001A7203"/>
    <w:rsid w:val="001A78A3"/>
    <w:rsid w:val="001B1787"/>
    <w:rsid w:val="001B1ACF"/>
    <w:rsid w:val="001B2EB1"/>
    <w:rsid w:val="001B427B"/>
    <w:rsid w:val="001B6D31"/>
    <w:rsid w:val="001C053B"/>
    <w:rsid w:val="001C0B99"/>
    <w:rsid w:val="001C231F"/>
    <w:rsid w:val="001C332C"/>
    <w:rsid w:val="001C3C1E"/>
    <w:rsid w:val="001C5562"/>
    <w:rsid w:val="001C5D0C"/>
    <w:rsid w:val="001C68E7"/>
    <w:rsid w:val="001C737C"/>
    <w:rsid w:val="001D042F"/>
    <w:rsid w:val="001D117C"/>
    <w:rsid w:val="001D117E"/>
    <w:rsid w:val="001D2765"/>
    <w:rsid w:val="001D2F07"/>
    <w:rsid w:val="001D352C"/>
    <w:rsid w:val="001D431D"/>
    <w:rsid w:val="001D4BAA"/>
    <w:rsid w:val="001D506D"/>
    <w:rsid w:val="001D547A"/>
    <w:rsid w:val="001D565B"/>
    <w:rsid w:val="001D6C06"/>
    <w:rsid w:val="001D6F37"/>
    <w:rsid w:val="001D7214"/>
    <w:rsid w:val="001D7B83"/>
    <w:rsid w:val="001E1EFB"/>
    <w:rsid w:val="001E22D6"/>
    <w:rsid w:val="001E235C"/>
    <w:rsid w:val="001E28CE"/>
    <w:rsid w:val="001E3C77"/>
    <w:rsid w:val="001E3D0C"/>
    <w:rsid w:val="001E3F39"/>
    <w:rsid w:val="001E4180"/>
    <w:rsid w:val="001E429E"/>
    <w:rsid w:val="001E4D2A"/>
    <w:rsid w:val="001E519D"/>
    <w:rsid w:val="001E6910"/>
    <w:rsid w:val="001E72BC"/>
    <w:rsid w:val="001F13B9"/>
    <w:rsid w:val="001F184B"/>
    <w:rsid w:val="001F3C66"/>
    <w:rsid w:val="001F3E40"/>
    <w:rsid w:val="001F473B"/>
    <w:rsid w:val="001F47CB"/>
    <w:rsid w:val="001F4943"/>
    <w:rsid w:val="001F4A03"/>
    <w:rsid w:val="001F5729"/>
    <w:rsid w:val="001F6249"/>
    <w:rsid w:val="001F7558"/>
    <w:rsid w:val="002008BC"/>
    <w:rsid w:val="002011E5"/>
    <w:rsid w:val="00202F44"/>
    <w:rsid w:val="00203B20"/>
    <w:rsid w:val="00203FC8"/>
    <w:rsid w:val="0020531C"/>
    <w:rsid w:val="00205412"/>
    <w:rsid w:val="002072F1"/>
    <w:rsid w:val="0020745D"/>
    <w:rsid w:val="00207631"/>
    <w:rsid w:val="00210FE8"/>
    <w:rsid w:val="002114A2"/>
    <w:rsid w:val="002119B0"/>
    <w:rsid w:val="002123A7"/>
    <w:rsid w:val="00213EBF"/>
    <w:rsid w:val="00214BB7"/>
    <w:rsid w:val="00215165"/>
    <w:rsid w:val="00215F10"/>
    <w:rsid w:val="002214F9"/>
    <w:rsid w:val="00221D61"/>
    <w:rsid w:val="002225AB"/>
    <w:rsid w:val="00222DB6"/>
    <w:rsid w:val="00223541"/>
    <w:rsid w:val="00223662"/>
    <w:rsid w:val="00227454"/>
    <w:rsid w:val="00227CDF"/>
    <w:rsid w:val="00227D54"/>
    <w:rsid w:val="002310EE"/>
    <w:rsid w:val="00231A66"/>
    <w:rsid w:val="00231D8B"/>
    <w:rsid w:val="00231EAA"/>
    <w:rsid w:val="00232C7D"/>
    <w:rsid w:val="00232E70"/>
    <w:rsid w:val="00233524"/>
    <w:rsid w:val="00234538"/>
    <w:rsid w:val="00234F6A"/>
    <w:rsid w:val="00237250"/>
    <w:rsid w:val="00237FBA"/>
    <w:rsid w:val="00240191"/>
    <w:rsid w:val="00240440"/>
    <w:rsid w:val="00242A75"/>
    <w:rsid w:val="0024510A"/>
    <w:rsid w:val="00246B1F"/>
    <w:rsid w:val="00247CE0"/>
    <w:rsid w:val="00250F25"/>
    <w:rsid w:val="0025135F"/>
    <w:rsid w:val="00252904"/>
    <w:rsid w:val="00252B74"/>
    <w:rsid w:val="00253855"/>
    <w:rsid w:val="002544CC"/>
    <w:rsid w:val="00255623"/>
    <w:rsid w:val="002566F3"/>
    <w:rsid w:val="00257030"/>
    <w:rsid w:val="00263750"/>
    <w:rsid w:val="00263763"/>
    <w:rsid w:val="00263811"/>
    <w:rsid w:val="00263A9D"/>
    <w:rsid w:val="00264770"/>
    <w:rsid w:val="00264D68"/>
    <w:rsid w:val="00264D83"/>
    <w:rsid w:val="002656F5"/>
    <w:rsid w:val="00265D02"/>
    <w:rsid w:val="00265F91"/>
    <w:rsid w:val="00266297"/>
    <w:rsid w:val="00267254"/>
    <w:rsid w:val="0026791A"/>
    <w:rsid w:val="00267DA3"/>
    <w:rsid w:val="002708CA"/>
    <w:rsid w:val="002718FB"/>
    <w:rsid w:val="00272AF6"/>
    <w:rsid w:val="00273CF6"/>
    <w:rsid w:val="00273E1D"/>
    <w:rsid w:val="00274A89"/>
    <w:rsid w:val="0027656D"/>
    <w:rsid w:val="002767F7"/>
    <w:rsid w:val="002775A5"/>
    <w:rsid w:val="002803E3"/>
    <w:rsid w:val="0028050A"/>
    <w:rsid w:val="002813F6"/>
    <w:rsid w:val="0028152D"/>
    <w:rsid w:val="00281C3F"/>
    <w:rsid w:val="00281DB4"/>
    <w:rsid w:val="00283586"/>
    <w:rsid w:val="002835CE"/>
    <w:rsid w:val="002843D1"/>
    <w:rsid w:val="002846BD"/>
    <w:rsid w:val="00286975"/>
    <w:rsid w:val="00287332"/>
    <w:rsid w:val="00290FBB"/>
    <w:rsid w:val="00291223"/>
    <w:rsid w:val="0029141D"/>
    <w:rsid w:val="00291511"/>
    <w:rsid w:val="00293026"/>
    <w:rsid w:val="002949C7"/>
    <w:rsid w:val="002949E0"/>
    <w:rsid w:val="00295535"/>
    <w:rsid w:val="002958D8"/>
    <w:rsid w:val="00297F88"/>
    <w:rsid w:val="002A0E30"/>
    <w:rsid w:val="002A23A4"/>
    <w:rsid w:val="002A3551"/>
    <w:rsid w:val="002A3F01"/>
    <w:rsid w:val="002A40EC"/>
    <w:rsid w:val="002A5996"/>
    <w:rsid w:val="002A5B9E"/>
    <w:rsid w:val="002A5C59"/>
    <w:rsid w:val="002A7276"/>
    <w:rsid w:val="002B0F3D"/>
    <w:rsid w:val="002B1AB5"/>
    <w:rsid w:val="002B4A89"/>
    <w:rsid w:val="002B4F02"/>
    <w:rsid w:val="002B5FA4"/>
    <w:rsid w:val="002B6027"/>
    <w:rsid w:val="002B6A16"/>
    <w:rsid w:val="002C2149"/>
    <w:rsid w:val="002C3CD2"/>
    <w:rsid w:val="002C3EC6"/>
    <w:rsid w:val="002C4B18"/>
    <w:rsid w:val="002C4B59"/>
    <w:rsid w:val="002C4B9A"/>
    <w:rsid w:val="002C527C"/>
    <w:rsid w:val="002D02D1"/>
    <w:rsid w:val="002D0DB8"/>
    <w:rsid w:val="002D1775"/>
    <w:rsid w:val="002D28B0"/>
    <w:rsid w:val="002D49EA"/>
    <w:rsid w:val="002D4F9E"/>
    <w:rsid w:val="002D58C0"/>
    <w:rsid w:val="002D5BB1"/>
    <w:rsid w:val="002D6B8B"/>
    <w:rsid w:val="002D7E13"/>
    <w:rsid w:val="002E03DE"/>
    <w:rsid w:val="002E10F8"/>
    <w:rsid w:val="002E160C"/>
    <w:rsid w:val="002E26FA"/>
    <w:rsid w:val="002E4127"/>
    <w:rsid w:val="002E5BA7"/>
    <w:rsid w:val="002E5D0B"/>
    <w:rsid w:val="002E6E28"/>
    <w:rsid w:val="002E7B59"/>
    <w:rsid w:val="002E7C36"/>
    <w:rsid w:val="002F0DEA"/>
    <w:rsid w:val="002F12AA"/>
    <w:rsid w:val="002F2497"/>
    <w:rsid w:val="002F4F42"/>
    <w:rsid w:val="002F6468"/>
    <w:rsid w:val="002F6D46"/>
    <w:rsid w:val="003001DB"/>
    <w:rsid w:val="003015B9"/>
    <w:rsid w:val="00301845"/>
    <w:rsid w:val="003020C7"/>
    <w:rsid w:val="00302515"/>
    <w:rsid w:val="0030271F"/>
    <w:rsid w:val="00303FD7"/>
    <w:rsid w:val="00304975"/>
    <w:rsid w:val="00304E0A"/>
    <w:rsid w:val="0030694E"/>
    <w:rsid w:val="003102C6"/>
    <w:rsid w:val="003103DC"/>
    <w:rsid w:val="0031051D"/>
    <w:rsid w:val="00310F03"/>
    <w:rsid w:val="00311772"/>
    <w:rsid w:val="00313802"/>
    <w:rsid w:val="00314146"/>
    <w:rsid w:val="00314D67"/>
    <w:rsid w:val="00315EC8"/>
    <w:rsid w:val="0031620D"/>
    <w:rsid w:val="0031656A"/>
    <w:rsid w:val="0031676A"/>
    <w:rsid w:val="0032168C"/>
    <w:rsid w:val="003228F9"/>
    <w:rsid w:val="00322934"/>
    <w:rsid w:val="00323952"/>
    <w:rsid w:val="00323CFC"/>
    <w:rsid w:val="00324A1B"/>
    <w:rsid w:val="003309B3"/>
    <w:rsid w:val="00330D96"/>
    <w:rsid w:val="00331413"/>
    <w:rsid w:val="003319AC"/>
    <w:rsid w:val="00333487"/>
    <w:rsid w:val="00333FD0"/>
    <w:rsid w:val="00336DD5"/>
    <w:rsid w:val="0033779A"/>
    <w:rsid w:val="00340435"/>
    <w:rsid w:val="00344367"/>
    <w:rsid w:val="00344CA4"/>
    <w:rsid w:val="00346A2E"/>
    <w:rsid w:val="00346D0E"/>
    <w:rsid w:val="003505D2"/>
    <w:rsid w:val="00351E1A"/>
    <w:rsid w:val="00353514"/>
    <w:rsid w:val="003540D1"/>
    <w:rsid w:val="00354428"/>
    <w:rsid w:val="00354841"/>
    <w:rsid w:val="00354970"/>
    <w:rsid w:val="00354977"/>
    <w:rsid w:val="00355864"/>
    <w:rsid w:val="00364B15"/>
    <w:rsid w:val="003653FE"/>
    <w:rsid w:val="003654B0"/>
    <w:rsid w:val="00365ECA"/>
    <w:rsid w:val="00366A13"/>
    <w:rsid w:val="003670E1"/>
    <w:rsid w:val="0036721D"/>
    <w:rsid w:val="00367600"/>
    <w:rsid w:val="00370C92"/>
    <w:rsid w:val="00370FF7"/>
    <w:rsid w:val="00372055"/>
    <w:rsid w:val="00372CE3"/>
    <w:rsid w:val="0037442D"/>
    <w:rsid w:val="003753CC"/>
    <w:rsid w:val="003761D7"/>
    <w:rsid w:val="00376D66"/>
    <w:rsid w:val="00380120"/>
    <w:rsid w:val="0038290F"/>
    <w:rsid w:val="00383AEE"/>
    <w:rsid w:val="00384C60"/>
    <w:rsid w:val="0038588F"/>
    <w:rsid w:val="0038741E"/>
    <w:rsid w:val="003879D2"/>
    <w:rsid w:val="003904A8"/>
    <w:rsid w:val="003925B6"/>
    <w:rsid w:val="003926D3"/>
    <w:rsid w:val="00392D8F"/>
    <w:rsid w:val="00394578"/>
    <w:rsid w:val="0039493B"/>
    <w:rsid w:val="00394E9B"/>
    <w:rsid w:val="0039763D"/>
    <w:rsid w:val="0039797F"/>
    <w:rsid w:val="003A0EA4"/>
    <w:rsid w:val="003A40C3"/>
    <w:rsid w:val="003A55F9"/>
    <w:rsid w:val="003A5B55"/>
    <w:rsid w:val="003A5DC9"/>
    <w:rsid w:val="003A626F"/>
    <w:rsid w:val="003A693D"/>
    <w:rsid w:val="003A6DC9"/>
    <w:rsid w:val="003A7090"/>
    <w:rsid w:val="003B0A08"/>
    <w:rsid w:val="003B0C6A"/>
    <w:rsid w:val="003B1EE4"/>
    <w:rsid w:val="003B3156"/>
    <w:rsid w:val="003B4310"/>
    <w:rsid w:val="003B43DA"/>
    <w:rsid w:val="003B505C"/>
    <w:rsid w:val="003B523B"/>
    <w:rsid w:val="003B5242"/>
    <w:rsid w:val="003B6395"/>
    <w:rsid w:val="003B649E"/>
    <w:rsid w:val="003B6DA1"/>
    <w:rsid w:val="003B7A00"/>
    <w:rsid w:val="003C020F"/>
    <w:rsid w:val="003C27B8"/>
    <w:rsid w:val="003C3B3D"/>
    <w:rsid w:val="003C3D2E"/>
    <w:rsid w:val="003C4671"/>
    <w:rsid w:val="003C7693"/>
    <w:rsid w:val="003C7785"/>
    <w:rsid w:val="003D081D"/>
    <w:rsid w:val="003D0CC7"/>
    <w:rsid w:val="003D1E80"/>
    <w:rsid w:val="003D2283"/>
    <w:rsid w:val="003D310C"/>
    <w:rsid w:val="003D5183"/>
    <w:rsid w:val="003D565B"/>
    <w:rsid w:val="003D5701"/>
    <w:rsid w:val="003D7B87"/>
    <w:rsid w:val="003D7E94"/>
    <w:rsid w:val="003E00F4"/>
    <w:rsid w:val="003E5A55"/>
    <w:rsid w:val="003E7698"/>
    <w:rsid w:val="003F1F55"/>
    <w:rsid w:val="003F2B4C"/>
    <w:rsid w:val="003F4FE0"/>
    <w:rsid w:val="003F52F5"/>
    <w:rsid w:val="003F5AA1"/>
    <w:rsid w:val="003F5D58"/>
    <w:rsid w:val="003F5E6E"/>
    <w:rsid w:val="003F66DB"/>
    <w:rsid w:val="00400F94"/>
    <w:rsid w:val="00400FAA"/>
    <w:rsid w:val="00401036"/>
    <w:rsid w:val="0040106F"/>
    <w:rsid w:val="00401D3E"/>
    <w:rsid w:val="00402410"/>
    <w:rsid w:val="004037DE"/>
    <w:rsid w:val="004056FA"/>
    <w:rsid w:val="004058B9"/>
    <w:rsid w:val="0040652C"/>
    <w:rsid w:val="004066AD"/>
    <w:rsid w:val="004078C3"/>
    <w:rsid w:val="004078F2"/>
    <w:rsid w:val="00411178"/>
    <w:rsid w:val="00412A1B"/>
    <w:rsid w:val="00412EE5"/>
    <w:rsid w:val="00413502"/>
    <w:rsid w:val="00414663"/>
    <w:rsid w:val="004146A8"/>
    <w:rsid w:val="004163BC"/>
    <w:rsid w:val="00416C52"/>
    <w:rsid w:val="00416D45"/>
    <w:rsid w:val="00420DEC"/>
    <w:rsid w:val="00420F16"/>
    <w:rsid w:val="00421247"/>
    <w:rsid w:val="0042317B"/>
    <w:rsid w:val="00424732"/>
    <w:rsid w:val="00425F29"/>
    <w:rsid w:val="004264FD"/>
    <w:rsid w:val="004265C5"/>
    <w:rsid w:val="00426C24"/>
    <w:rsid w:val="004277D9"/>
    <w:rsid w:val="00427958"/>
    <w:rsid w:val="00430B9E"/>
    <w:rsid w:val="00431A54"/>
    <w:rsid w:val="00432189"/>
    <w:rsid w:val="004324D2"/>
    <w:rsid w:val="00432617"/>
    <w:rsid w:val="00432964"/>
    <w:rsid w:val="00433055"/>
    <w:rsid w:val="00433801"/>
    <w:rsid w:val="00433873"/>
    <w:rsid w:val="00433885"/>
    <w:rsid w:val="00434757"/>
    <w:rsid w:val="00435A92"/>
    <w:rsid w:val="00436683"/>
    <w:rsid w:val="00436A7B"/>
    <w:rsid w:val="00436D00"/>
    <w:rsid w:val="00437BDB"/>
    <w:rsid w:val="00440079"/>
    <w:rsid w:val="00440736"/>
    <w:rsid w:val="004412FE"/>
    <w:rsid w:val="00441FF9"/>
    <w:rsid w:val="00442805"/>
    <w:rsid w:val="0044401F"/>
    <w:rsid w:val="004458B2"/>
    <w:rsid w:val="00445AEF"/>
    <w:rsid w:val="004461F0"/>
    <w:rsid w:val="00447473"/>
    <w:rsid w:val="004504EC"/>
    <w:rsid w:val="004507B5"/>
    <w:rsid w:val="00450C53"/>
    <w:rsid w:val="00452D3F"/>
    <w:rsid w:val="00453C68"/>
    <w:rsid w:val="00453F60"/>
    <w:rsid w:val="00454220"/>
    <w:rsid w:val="00455383"/>
    <w:rsid w:val="0045559F"/>
    <w:rsid w:val="00455A89"/>
    <w:rsid w:val="00455DB5"/>
    <w:rsid w:val="00456B93"/>
    <w:rsid w:val="00457D2B"/>
    <w:rsid w:val="00457EAE"/>
    <w:rsid w:val="004603EF"/>
    <w:rsid w:val="00461C29"/>
    <w:rsid w:val="00462934"/>
    <w:rsid w:val="00463C49"/>
    <w:rsid w:val="0046462A"/>
    <w:rsid w:val="004657EB"/>
    <w:rsid w:val="00465B4D"/>
    <w:rsid w:val="00466F59"/>
    <w:rsid w:val="0046757D"/>
    <w:rsid w:val="00471167"/>
    <w:rsid w:val="004732DD"/>
    <w:rsid w:val="00473C3C"/>
    <w:rsid w:val="00475A38"/>
    <w:rsid w:val="00475EA4"/>
    <w:rsid w:val="004769BD"/>
    <w:rsid w:val="00477466"/>
    <w:rsid w:val="00481305"/>
    <w:rsid w:val="0048327F"/>
    <w:rsid w:val="0048341F"/>
    <w:rsid w:val="0048342B"/>
    <w:rsid w:val="004858D1"/>
    <w:rsid w:val="00486B96"/>
    <w:rsid w:val="00490A2C"/>
    <w:rsid w:val="00493778"/>
    <w:rsid w:val="00495ACE"/>
    <w:rsid w:val="00495D32"/>
    <w:rsid w:val="00496CF9"/>
    <w:rsid w:val="0049781F"/>
    <w:rsid w:val="00497882"/>
    <w:rsid w:val="004A0303"/>
    <w:rsid w:val="004A07C0"/>
    <w:rsid w:val="004A0C1F"/>
    <w:rsid w:val="004A117E"/>
    <w:rsid w:val="004A1739"/>
    <w:rsid w:val="004A1C42"/>
    <w:rsid w:val="004A2832"/>
    <w:rsid w:val="004A3BAB"/>
    <w:rsid w:val="004A4311"/>
    <w:rsid w:val="004A45A4"/>
    <w:rsid w:val="004A7141"/>
    <w:rsid w:val="004A7493"/>
    <w:rsid w:val="004A7AD9"/>
    <w:rsid w:val="004B1137"/>
    <w:rsid w:val="004B1CE3"/>
    <w:rsid w:val="004B2E5A"/>
    <w:rsid w:val="004B5053"/>
    <w:rsid w:val="004B6697"/>
    <w:rsid w:val="004B6827"/>
    <w:rsid w:val="004B7293"/>
    <w:rsid w:val="004B79BA"/>
    <w:rsid w:val="004C166B"/>
    <w:rsid w:val="004C461F"/>
    <w:rsid w:val="004C49C0"/>
    <w:rsid w:val="004C50ED"/>
    <w:rsid w:val="004C55DF"/>
    <w:rsid w:val="004C589E"/>
    <w:rsid w:val="004C6650"/>
    <w:rsid w:val="004C74DD"/>
    <w:rsid w:val="004D061B"/>
    <w:rsid w:val="004D0D15"/>
    <w:rsid w:val="004D24C2"/>
    <w:rsid w:val="004D3744"/>
    <w:rsid w:val="004D40DC"/>
    <w:rsid w:val="004D4432"/>
    <w:rsid w:val="004D4A18"/>
    <w:rsid w:val="004D4AB6"/>
    <w:rsid w:val="004D67AF"/>
    <w:rsid w:val="004D6AA6"/>
    <w:rsid w:val="004D6EF3"/>
    <w:rsid w:val="004E1C40"/>
    <w:rsid w:val="004E277B"/>
    <w:rsid w:val="004E4329"/>
    <w:rsid w:val="004E643D"/>
    <w:rsid w:val="004E6DD9"/>
    <w:rsid w:val="004F0E3F"/>
    <w:rsid w:val="004F1154"/>
    <w:rsid w:val="004F2A19"/>
    <w:rsid w:val="004F5695"/>
    <w:rsid w:val="004F5B8E"/>
    <w:rsid w:val="004F671C"/>
    <w:rsid w:val="0050066B"/>
    <w:rsid w:val="00500A6A"/>
    <w:rsid w:val="005020ED"/>
    <w:rsid w:val="005024AE"/>
    <w:rsid w:val="0050304E"/>
    <w:rsid w:val="005033DA"/>
    <w:rsid w:val="005041D6"/>
    <w:rsid w:val="00504DDA"/>
    <w:rsid w:val="00506AD0"/>
    <w:rsid w:val="00507F42"/>
    <w:rsid w:val="00510DEE"/>
    <w:rsid w:val="005110C3"/>
    <w:rsid w:val="00511F25"/>
    <w:rsid w:val="0051219B"/>
    <w:rsid w:val="005172AA"/>
    <w:rsid w:val="00520C44"/>
    <w:rsid w:val="00521A1B"/>
    <w:rsid w:val="005261F4"/>
    <w:rsid w:val="00526ED4"/>
    <w:rsid w:val="00526EEB"/>
    <w:rsid w:val="005276FF"/>
    <w:rsid w:val="00530EF1"/>
    <w:rsid w:val="00532EEA"/>
    <w:rsid w:val="005330EF"/>
    <w:rsid w:val="00534B3B"/>
    <w:rsid w:val="005355FF"/>
    <w:rsid w:val="00535756"/>
    <w:rsid w:val="0053671C"/>
    <w:rsid w:val="00537129"/>
    <w:rsid w:val="0053734C"/>
    <w:rsid w:val="00540CC4"/>
    <w:rsid w:val="00541BE4"/>
    <w:rsid w:val="00543167"/>
    <w:rsid w:val="005432AD"/>
    <w:rsid w:val="00543BF9"/>
    <w:rsid w:val="00544B35"/>
    <w:rsid w:val="00545952"/>
    <w:rsid w:val="0054693A"/>
    <w:rsid w:val="005471A4"/>
    <w:rsid w:val="005518D5"/>
    <w:rsid w:val="005529FB"/>
    <w:rsid w:val="00552AFF"/>
    <w:rsid w:val="0055350D"/>
    <w:rsid w:val="00557330"/>
    <w:rsid w:val="00560CE9"/>
    <w:rsid w:val="00561E6D"/>
    <w:rsid w:val="0056337B"/>
    <w:rsid w:val="00563E36"/>
    <w:rsid w:val="005662C0"/>
    <w:rsid w:val="00566FF5"/>
    <w:rsid w:val="00570142"/>
    <w:rsid w:val="0057107A"/>
    <w:rsid w:val="0057124E"/>
    <w:rsid w:val="00573C7B"/>
    <w:rsid w:val="00573F4B"/>
    <w:rsid w:val="00573F55"/>
    <w:rsid w:val="00575C90"/>
    <w:rsid w:val="00575EC7"/>
    <w:rsid w:val="00575F18"/>
    <w:rsid w:val="00577044"/>
    <w:rsid w:val="00580A5C"/>
    <w:rsid w:val="00581FE7"/>
    <w:rsid w:val="0058394F"/>
    <w:rsid w:val="00584A22"/>
    <w:rsid w:val="00584C74"/>
    <w:rsid w:val="00584F67"/>
    <w:rsid w:val="00585432"/>
    <w:rsid w:val="00586A23"/>
    <w:rsid w:val="00586A2E"/>
    <w:rsid w:val="0059030C"/>
    <w:rsid w:val="005909DE"/>
    <w:rsid w:val="005923C1"/>
    <w:rsid w:val="00592E28"/>
    <w:rsid w:val="00593227"/>
    <w:rsid w:val="005940C0"/>
    <w:rsid w:val="00594E4A"/>
    <w:rsid w:val="005950CC"/>
    <w:rsid w:val="005961AA"/>
    <w:rsid w:val="005969D1"/>
    <w:rsid w:val="00596D10"/>
    <w:rsid w:val="00597D0C"/>
    <w:rsid w:val="005A03A2"/>
    <w:rsid w:val="005A1B93"/>
    <w:rsid w:val="005A36CA"/>
    <w:rsid w:val="005A618F"/>
    <w:rsid w:val="005B01E4"/>
    <w:rsid w:val="005B1302"/>
    <w:rsid w:val="005B216C"/>
    <w:rsid w:val="005B2605"/>
    <w:rsid w:val="005B4558"/>
    <w:rsid w:val="005B4CB9"/>
    <w:rsid w:val="005B587F"/>
    <w:rsid w:val="005B5C51"/>
    <w:rsid w:val="005B7548"/>
    <w:rsid w:val="005B7C0E"/>
    <w:rsid w:val="005B7E5A"/>
    <w:rsid w:val="005C228E"/>
    <w:rsid w:val="005C3A62"/>
    <w:rsid w:val="005C7926"/>
    <w:rsid w:val="005D199C"/>
    <w:rsid w:val="005D5A22"/>
    <w:rsid w:val="005D5E3C"/>
    <w:rsid w:val="005D6B25"/>
    <w:rsid w:val="005E08AF"/>
    <w:rsid w:val="005E1E63"/>
    <w:rsid w:val="005E4DC7"/>
    <w:rsid w:val="005E7F8B"/>
    <w:rsid w:val="005F03F8"/>
    <w:rsid w:val="005F09EA"/>
    <w:rsid w:val="005F0D76"/>
    <w:rsid w:val="005F1DF2"/>
    <w:rsid w:val="005F2CCF"/>
    <w:rsid w:val="005F41FD"/>
    <w:rsid w:val="005F5515"/>
    <w:rsid w:val="005F580A"/>
    <w:rsid w:val="005F6046"/>
    <w:rsid w:val="005F702C"/>
    <w:rsid w:val="005F7583"/>
    <w:rsid w:val="005F77F3"/>
    <w:rsid w:val="0060052A"/>
    <w:rsid w:val="00600EE6"/>
    <w:rsid w:val="006040B8"/>
    <w:rsid w:val="006045BB"/>
    <w:rsid w:val="00605962"/>
    <w:rsid w:val="00606064"/>
    <w:rsid w:val="0060670F"/>
    <w:rsid w:val="006071A2"/>
    <w:rsid w:val="0060723E"/>
    <w:rsid w:val="006079CF"/>
    <w:rsid w:val="00610DDE"/>
    <w:rsid w:val="0061417B"/>
    <w:rsid w:val="006162C9"/>
    <w:rsid w:val="0062039B"/>
    <w:rsid w:val="00620456"/>
    <w:rsid w:val="00622412"/>
    <w:rsid w:val="0062367C"/>
    <w:rsid w:val="006251C8"/>
    <w:rsid w:val="00627D25"/>
    <w:rsid w:val="0063089B"/>
    <w:rsid w:val="00631D7C"/>
    <w:rsid w:val="00633BF5"/>
    <w:rsid w:val="00634A88"/>
    <w:rsid w:val="00636EED"/>
    <w:rsid w:val="006378C1"/>
    <w:rsid w:val="00640156"/>
    <w:rsid w:val="006407E3"/>
    <w:rsid w:val="00640AD3"/>
    <w:rsid w:val="00641100"/>
    <w:rsid w:val="0064129C"/>
    <w:rsid w:val="0064219F"/>
    <w:rsid w:val="00642F5D"/>
    <w:rsid w:val="00643510"/>
    <w:rsid w:val="00644301"/>
    <w:rsid w:val="006443EB"/>
    <w:rsid w:val="00645132"/>
    <w:rsid w:val="0064581B"/>
    <w:rsid w:val="006470C3"/>
    <w:rsid w:val="006478D4"/>
    <w:rsid w:val="00647962"/>
    <w:rsid w:val="00652671"/>
    <w:rsid w:val="00653BAB"/>
    <w:rsid w:val="0065438D"/>
    <w:rsid w:val="00655E52"/>
    <w:rsid w:val="006563FD"/>
    <w:rsid w:val="00656520"/>
    <w:rsid w:val="00656665"/>
    <w:rsid w:val="00660532"/>
    <w:rsid w:val="00661646"/>
    <w:rsid w:val="00661C09"/>
    <w:rsid w:val="00662B4B"/>
    <w:rsid w:val="006632ED"/>
    <w:rsid w:val="00664294"/>
    <w:rsid w:val="00666931"/>
    <w:rsid w:val="00666998"/>
    <w:rsid w:val="00666B2C"/>
    <w:rsid w:val="00667D08"/>
    <w:rsid w:val="006701B2"/>
    <w:rsid w:val="0067044B"/>
    <w:rsid w:val="00670618"/>
    <w:rsid w:val="00670A8A"/>
    <w:rsid w:val="00670E1D"/>
    <w:rsid w:val="0067138C"/>
    <w:rsid w:val="00671AFA"/>
    <w:rsid w:val="006721EB"/>
    <w:rsid w:val="00672421"/>
    <w:rsid w:val="00672A31"/>
    <w:rsid w:val="00672B26"/>
    <w:rsid w:val="00672D3D"/>
    <w:rsid w:val="00672E67"/>
    <w:rsid w:val="00672FBC"/>
    <w:rsid w:val="006731F1"/>
    <w:rsid w:val="0067444A"/>
    <w:rsid w:val="00674D94"/>
    <w:rsid w:val="00675E1D"/>
    <w:rsid w:val="00676346"/>
    <w:rsid w:val="0067755B"/>
    <w:rsid w:val="006800A3"/>
    <w:rsid w:val="0068072C"/>
    <w:rsid w:val="00681E19"/>
    <w:rsid w:val="00682394"/>
    <w:rsid w:val="0068359D"/>
    <w:rsid w:val="0068371E"/>
    <w:rsid w:val="0068386A"/>
    <w:rsid w:val="00685EB7"/>
    <w:rsid w:val="00686270"/>
    <w:rsid w:val="0068779F"/>
    <w:rsid w:val="00687816"/>
    <w:rsid w:val="00690781"/>
    <w:rsid w:val="00690D68"/>
    <w:rsid w:val="0069142A"/>
    <w:rsid w:val="00692DAD"/>
    <w:rsid w:val="00693FC7"/>
    <w:rsid w:val="00694B86"/>
    <w:rsid w:val="00694CA5"/>
    <w:rsid w:val="00695F33"/>
    <w:rsid w:val="006973A0"/>
    <w:rsid w:val="006A07A4"/>
    <w:rsid w:val="006A0D1F"/>
    <w:rsid w:val="006A0D82"/>
    <w:rsid w:val="006A0DF9"/>
    <w:rsid w:val="006A3A20"/>
    <w:rsid w:val="006A447C"/>
    <w:rsid w:val="006A5397"/>
    <w:rsid w:val="006A560F"/>
    <w:rsid w:val="006A5FCC"/>
    <w:rsid w:val="006B0122"/>
    <w:rsid w:val="006B1F88"/>
    <w:rsid w:val="006B53B3"/>
    <w:rsid w:val="006B5F97"/>
    <w:rsid w:val="006B6C03"/>
    <w:rsid w:val="006B6F53"/>
    <w:rsid w:val="006B7CF5"/>
    <w:rsid w:val="006C194F"/>
    <w:rsid w:val="006C20A8"/>
    <w:rsid w:val="006C3F77"/>
    <w:rsid w:val="006C431D"/>
    <w:rsid w:val="006C4CEB"/>
    <w:rsid w:val="006C4DAE"/>
    <w:rsid w:val="006C5E9D"/>
    <w:rsid w:val="006C6DC3"/>
    <w:rsid w:val="006D0575"/>
    <w:rsid w:val="006D17A9"/>
    <w:rsid w:val="006D19AC"/>
    <w:rsid w:val="006D208D"/>
    <w:rsid w:val="006D2923"/>
    <w:rsid w:val="006D4450"/>
    <w:rsid w:val="006D44F0"/>
    <w:rsid w:val="006D4601"/>
    <w:rsid w:val="006D4817"/>
    <w:rsid w:val="006D528F"/>
    <w:rsid w:val="006D59E0"/>
    <w:rsid w:val="006D6F89"/>
    <w:rsid w:val="006E10F3"/>
    <w:rsid w:val="006E20CC"/>
    <w:rsid w:val="006E2803"/>
    <w:rsid w:val="006E56EA"/>
    <w:rsid w:val="006E573B"/>
    <w:rsid w:val="006E6264"/>
    <w:rsid w:val="006E6CC7"/>
    <w:rsid w:val="006E7DCB"/>
    <w:rsid w:val="006F12A5"/>
    <w:rsid w:val="006F2F67"/>
    <w:rsid w:val="006F42A8"/>
    <w:rsid w:val="006F45E1"/>
    <w:rsid w:val="006F5636"/>
    <w:rsid w:val="006F5CCB"/>
    <w:rsid w:val="006F6475"/>
    <w:rsid w:val="006F6990"/>
    <w:rsid w:val="006F78FF"/>
    <w:rsid w:val="006F793E"/>
    <w:rsid w:val="00701256"/>
    <w:rsid w:val="00701CC6"/>
    <w:rsid w:val="0070208C"/>
    <w:rsid w:val="00704853"/>
    <w:rsid w:val="007065E7"/>
    <w:rsid w:val="0070686C"/>
    <w:rsid w:val="0070694B"/>
    <w:rsid w:val="00706E40"/>
    <w:rsid w:val="007102F6"/>
    <w:rsid w:val="007103AF"/>
    <w:rsid w:val="007106FD"/>
    <w:rsid w:val="007115D9"/>
    <w:rsid w:val="007118DD"/>
    <w:rsid w:val="007124D9"/>
    <w:rsid w:val="007125F9"/>
    <w:rsid w:val="00713C2C"/>
    <w:rsid w:val="007148E3"/>
    <w:rsid w:val="00717885"/>
    <w:rsid w:val="00717C71"/>
    <w:rsid w:val="00720943"/>
    <w:rsid w:val="00721FB7"/>
    <w:rsid w:val="007228DC"/>
    <w:rsid w:val="00724AB0"/>
    <w:rsid w:val="00726383"/>
    <w:rsid w:val="00727668"/>
    <w:rsid w:val="007310EB"/>
    <w:rsid w:val="007321A1"/>
    <w:rsid w:val="007323E1"/>
    <w:rsid w:val="007351F8"/>
    <w:rsid w:val="007362DB"/>
    <w:rsid w:val="00736449"/>
    <w:rsid w:val="00737620"/>
    <w:rsid w:val="00740682"/>
    <w:rsid w:val="00740F0F"/>
    <w:rsid w:val="00740F98"/>
    <w:rsid w:val="00742996"/>
    <w:rsid w:val="00746F8C"/>
    <w:rsid w:val="0075052B"/>
    <w:rsid w:val="007509CC"/>
    <w:rsid w:val="00751114"/>
    <w:rsid w:val="00752171"/>
    <w:rsid w:val="0075501D"/>
    <w:rsid w:val="0076048C"/>
    <w:rsid w:val="00760E2E"/>
    <w:rsid w:val="007617BF"/>
    <w:rsid w:val="007622F1"/>
    <w:rsid w:val="0076316D"/>
    <w:rsid w:val="0076368E"/>
    <w:rsid w:val="00764943"/>
    <w:rsid w:val="00765656"/>
    <w:rsid w:val="00765C33"/>
    <w:rsid w:val="00766AAF"/>
    <w:rsid w:val="00767738"/>
    <w:rsid w:val="007678A8"/>
    <w:rsid w:val="00770554"/>
    <w:rsid w:val="00770C36"/>
    <w:rsid w:val="007717C5"/>
    <w:rsid w:val="00772034"/>
    <w:rsid w:val="00772AF1"/>
    <w:rsid w:val="0077311C"/>
    <w:rsid w:val="00773E7A"/>
    <w:rsid w:val="007745F6"/>
    <w:rsid w:val="00775047"/>
    <w:rsid w:val="00775123"/>
    <w:rsid w:val="00775D94"/>
    <w:rsid w:val="00776DA5"/>
    <w:rsid w:val="00776DED"/>
    <w:rsid w:val="00777C26"/>
    <w:rsid w:val="0078163B"/>
    <w:rsid w:val="007818EE"/>
    <w:rsid w:val="00781F34"/>
    <w:rsid w:val="00782235"/>
    <w:rsid w:val="00783FA0"/>
    <w:rsid w:val="0078487A"/>
    <w:rsid w:val="00785532"/>
    <w:rsid w:val="00787179"/>
    <w:rsid w:val="00787203"/>
    <w:rsid w:val="007909C2"/>
    <w:rsid w:val="00790A34"/>
    <w:rsid w:val="00790BE7"/>
    <w:rsid w:val="00791083"/>
    <w:rsid w:val="007910A4"/>
    <w:rsid w:val="00791165"/>
    <w:rsid w:val="00791FAF"/>
    <w:rsid w:val="00793B8D"/>
    <w:rsid w:val="00793FA4"/>
    <w:rsid w:val="00795F8A"/>
    <w:rsid w:val="007960A7"/>
    <w:rsid w:val="007961A5"/>
    <w:rsid w:val="00796CED"/>
    <w:rsid w:val="007972BD"/>
    <w:rsid w:val="00797ABA"/>
    <w:rsid w:val="00797EDD"/>
    <w:rsid w:val="007A0AC6"/>
    <w:rsid w:val="007A25D1"/>
    <w:rsid w:val="007A25F5"/>
    <w:rsid w:val="007A378C"/>
    <w:rsid w:val="007A3FCF"/>
    <w:rsid w:val="007A407D"/>
    <w:rsid w:val="007A4B09"/>
    <w:rsid w:val="007A5BD1"/>
    <w:rsid w:val="007A7331"/>
    <w:rsid w:val="007A7432"/>
    <w:rsid w:val="007A74B6"/>
    <w:rsid w:val="007B11FE"/>
    <w:rsid w:val="007B2065"/>
    <w:rsid w:val="007B4A04"/>
    <w:rsid w:val="007B5D46"/>
    <w:rsid w:val="007B7C67"/>
    <w:rsid w:val="007C075B"/>
    <w:rsid w:val="007C0A64"/>
    <w:rsid w:val="007C3856"/>
    <w:rsid w:val="007C5A5E"/>
    <w:rsid w:val="007C697B"/>
    <w:rsid w:val="007C70A1"/>
    <w:rsid w:val="007D03D5"/>
    <w:rsid w:val="007D0F6C"/>
    <w:rsid w:val="007D20C4"/>
    <w:rsid w:val="007D2C14"/>
    <w:rsid w:val="007D3D44"/>
    <w:rsid w:val="007D3FB6"/>
    <w:rsid w:val="007D425D"/>
    <w:rsid w:val="007D42E5"/>
    <w:rsid w:val="007D5219"/>
    <w:rsid w:val="007D5878"/>
    <w:rsid w:val="007D5E29"/>
    <w:rsid w:val="007D6707"/>
    <w:rsid w:val="007D6F73"/>
    <w:rsid w:val="007D7F32"/>
    <w:rsid w:val="007E079B"/>
    <w:rsid w:val="007E08A2"/>
    <w:rsid w:val="007E0BAC"/>
    <w:rsid w:val="007E0C9B"/>
    <w:rsid w:val="007E14C5"/>
    <w:rsid w:val="007E21C6"/>
    <w:rsid w:val="007E23EF"/>
    <w:rsid w:val="007E2DC0"/>
    <w:rsid w:val="007E743B"/>
    <w:rsid w:val="007F0592"/>
    <w:rsid w:val="007F19F1"/>
    <w:rsid w:val="007F1A28"/>
    <w:rsid w:val="007F1F43"/>
    <w:rsid w:val="007F23F3"/>
    <w:rsid w:val="007F2818"/>
    <w:rsid w:val="007F32C1"/>
    <w:rsid w:val="007F33C3"/>
    <w:rsid w:val="007F3886"/>
    <w:rsid w:val="007F5684"/>
    <w:rsid w:val="007F57FD"/>
    <w:rsid w:val="007F5CEA"/>
    <w:rsid w:val="007F6F57"/>
    <w:rsid w:val="007F72A8"/>
    <w:rsid w:val="007F7651"/>
    <w:rsid w:val="00800DE5"/>
    <w:rsid w:val="008014F2"/>
    <w:rsid w:val="00801B0D"/>
    <w:rsid w:val="00801D72"/>
    <w:rsid w:val="0080211C"/>
    <w:rsid w:val="00804A04"/>
    <w:rsid w:val="0080544B"/>
    <w:rsid w:val="00805D4D"/>
    <w:rsid w:val="00805E19"/>
    <w:rsid w:val="00806828"/>
    <w:rsid w:val="00806858"/>
    <w:rsid w:val="00806E9C"/>
    <w:rsid w:val="00806EC8"/>
    <w:rsid w:val="008101F1"/>
    <w:rsid w:val="0081082E"/>
    <w:rsid w:val="00813D2D"/>
    <w:rsid w:val="00817963"/>
    <w:rsid w:val="00817C44"/>
    <w:rsid w:val="00820A73"/>
    <w:rsid w:val="00821CB0"/>
    <w:rsid w:val="00825236"/>
    <w:rsid w:val="008264DB"/>
    <w:rsid w:val="008266DD"/>
    <w:rsid w:val="00830207"/>
    <w:rsid w:val="00830698"/>
    <w:rsid w:val="0083074D"/>
    <w:rsid w:val="008319DC"/>
    <w:rsid w:val="0083225F"/>
    <w:rsid w:val="008334DE"/>
    <w:rsid w:val="0083356D"/>
    <w:rsid w:val="00833D2B"/>
    <w:rsid w:val="00833E5E"/>
    <w:rsid w:val="008345DF"/>
    <w:rsid w:val="00835424"/>
    <w:rsid w:val="00835A96"/>
    <w:rsid w:val="0083630B"/>
    <w:rsid w:val="00836405"/>
    <w:rsid w:val="00836512"/>
    <w:rsid w:val="00837C71"/>
    <w:rsid w:val="00837DC3"/>
    <w:rsid w:val="008418E7"/>
    <w:rsid w:val="00841F81"/>
    <w:rsid w:val="0084345B"/>
    <w:rsid w:val="0084431B"/>
    <w:rsid w:val="0084661B"/>
    <w:rsid w:val="00846E6E"/>
    <w:rsid w:val="00850679"/>
    <w:rsid w:val="0085092B"/>
    <w:rsid w:val="008518A9"/>
    <w:rsid w:val="00852049"/>
    <w:rsid w:val="00852D79"/>
    <w:rsid w:val="00854387"/>
    <w:rsid w:val="008634C8"/>
    <w:rsid w:val="00863DA8"/>
    <w:rsid w:val="008640F1"/>
    <w:rsid w:val="00864354"/>
    <w:rsid w:val="008644E0"/>
    <w:rsid w:val="008647DD"/>
    <w:rsid w:val="008652F3"/>
    <w:rsid w:val="00865A2E"/>
    <w:rsid w:val="00866245"/>
    <w:rsid w:val="0086674F"/>
    <w:rsid w:val="008706AA"/>
    <w:rsid w:val="00871BB7"/>
    <w:rsid w:val="00871C14"/>
    <w:rsid w:val="008721EC"/>
    <w:rsid w:val="008731B5"/>
    <w:rsid w:val="0087323C"/>
    <w:rsid w:val="00873C70"/>
    <w:rsid w:val="00874099"/>
    <w:rsid w:val="00876D9C"/>
    <w:rsid w:val="00876E9F"/>
    <w:rsid w:val="00883430"/>
    <w:rsid w:val="00883B6A"/>
    <w:rsid w:val="0088442F"/>
    <w:rsid w:val="008861E5"/>
    <w:rsid w:val="00886602"/>
    <w:rsid w:val="00887193"/>
    <w:rsid w:val="00890A2B"/>
    <w:rsid w:val="0089138B"/>
    <w:rsid w:val="00891C93"/>
    <w:rsid w:val="00893793"/>
    <w:rsid w:val="00893854"/>
    <w:rsid w:val="00894691"/>
    <w:rsid w:val="00895903"/>
    <w:rsid w:val="008970D6"/>
    <w:rsid w:val="00897FA0"/>
    <w:rsid w:val="008A0888"/>
    <w:rsid w:val="008A23C6"/>
    <w:rsid w:val="008A34C8"/>
    <w:rsid w:val="008A3870"/>
    <w:rsid w:val="008A5CB7"/>
    <w:rsid w:val="008A6091"/>
    <w:rsid w:val="008A68A8"/>
    <w:rsid w:val="008A6FF1"/>
    <w:rsid w:val="008A74C0"/>
    <w:rsid w:val="008A7EAD"/>
    <w:rsid w:val="008B0352"/>
    <w:rsid w:val="008B03E5"/>
    <w:rsid w:val="008B03EE"/>
    <w:rsid w:val="008B19B1"/>
    <w:rsid w:val="008B2C0E"/>
    <w:rsid w:val="008B41F5"/>
    <w:rsid w:val="008B4BA8"/>
    <w:rsid w:val="008B6C75"/>
    <w:rsid w:val="008B6E20"/>
    <w:rsid w:val="008B7186"/>
    <w:rsid w:val="008B7346"/>
    <w:rsid w:val="008B7737"/>
    <w:rsid w:val="008B7E5D"/>
    <w:rsid w:val="008B7F6C"/>
    <w:rsid w:val="008C0288"/>
    <w:rsid w:val="008C057D"/>
    <w:rsid w:val="008C1822"/>
    <w:rsid w:val="008C1EB5"/>
    <w:rsid w:val="008C3762"/>
    <w:rsid w:val="008C3FC8"/>
    <w:rsid w:val="008C571C"/>
    <w:rsid w:val="008C632D"/>
    <w:rsid w:val="008C6DDA"/>
    <w:rsid w:val="008D164C"/>
    <w:rsid w:val="008D1F18"/>
    <w:rsid w:val="008D21E4"/>
    <w:rsid w:val="008D3489"/>
    <w:rsid w:val="008D4AE4"/>
    <w:rsid w:val="008D4BE8"/>
    <w:rsid w:val="008D4C9D"/>
    <w:rsid w:val="008D5517"/>
    <w:rsid w:val="008D58A4"/>
    <w:rsid w:val="008D5CDC"/>
    <w:rsid w:val="008D63DA"/>
    <w:rsid w:val="008E1B30"/>
    <w:rsid w:val="008E1F21"/>
    <w:rsid w:val="008E21C4"/>
    <w:rsid w:val="008E2DA2"/>
    <w:rsid w:val="008E31FB"/>
    <w:rsid w:val="008E33C1"/>
    <w:rsid w:val="008E4366"/>
    <w:rsid w:val="008E4BE3"/>
    <w:rsid w:val="008E554A"/>
    <w:rsid w:val="008E71D7"/>
    <w:rsid w:val="008E7EDC"/>
    <w:rsid w:val="008F09F9"/>
    <w:rsid w:val="008F15C2"/>
    <w:rsid w:val="008F2758"/>
    <w:rsid w:val="008F35C8"/>
    <w:rsid w:val="008F706A"/>
    <w:rsid w:val="008F7883"/>
    <w:rsid w:val="00900867"/>
    <w:rsid w:val="0090367B"/>
    <w:rsid w:val="00903EA3"/>
    <w:rsid w:val="00904F20"/>
    <w:rsid w:val="00907714"/>
    <w:rsid w:val="00912820"/>
    <w:rsid w:val="00912914"/>
    <w:rsid w:val="009145C4"/>
    <w:rsid w:val="00917EA2"/>
    <w:rsid w:val="00920355"/>
    <w:rsid w:val="009206B0"/>
    <w:rsid w:val="009228C4"/>
    <w:rsid w:val="00922D1F"/>
    <w:rsid w:val="00922D5B"/>
    <w:rsid w:val="00925211"/>
    <w:rsid w:val="00926A1F"/>
    <w:rsid w:val="00926ADB"/>
    <w:rsid w:val="00927810"/>
    <w:rsid w:val="00930058"/>
    <w:rsid w:val="00930FC1"/>
    <w:rsid w:val="009319A0"/>
    <w:rsid w:val="00931DC1"/>
    <w:rsid w:val="00932857"/>
    <w:rsid w:val="00933287"/>
    <w:rsid w:val="009341A1"/>
    <w:rsid w:val="00935A30"/>
    <w:rsid w:val="00935C89"/>
    <w:rsid w:val="0093640D"/>
    <w:rsid w:val="0093659C"/>
    <w:rsid w:val="0093778B"/>
    <w:rsid w:val="00940C3E"/>
    <w:rsid w:val="009412BF"/>
    <w:rsid w:val="00941755"/>
    <w:rsid w:val="0094191E"/>
    <w:rsid w:val="00941FA6"/>
    <w:rsid w:val="009440BD"/>
    <w:rsid w:val="009448ED"/>
    <w:rsid w:val="009458DE"/>
    <w:rsid w:val="0095058B"/>
    <w:rsid w:val="00950A11"/>
    <w:rsid w:val="00951192"/>
    <w:rsid w:val="00952D59"/>
    <w:rsid w:val="00952F7A"/>
    <w:rsid w:val="009539D6"/>
    <w:rsid w:val="009539EF"/>
    <w:rsid w:val="00954445"/>
    <w:rsid w:val="009555C2"/>
    <w:rsid w:val="00955799"/>
    <w:rsid w:val="00955F97"/>
    <w:rsid w:val="00956030"/>
    <w:rsid w:val="00957624"/>
    <w:rsid w:val="009607A2"/>
    <w:rsid w:val="00960955"/>
    <w:rsid w:val="00961DEB"/>
    <w:rsid w:val="00963F05"/>
    <w:rsid w:val="00964097"/>
    <w:rsid w:val="009642F2"/>
    <w:rsid w:val="009661D4"/>
    <w:rsid w:val="00966EC9"/>
    <w:rsid w:val="009712F4"/>
    <w:rsid w:val="00971518"/>
    <w:rsid w:val="00971594"/>
    <w:rsid w:val="00976CC9"/>
    <w:rsid w:val="0097738E"/>
    <w:rsid w:val="009811CA"/>
    <w:rsid w:val="00981A21"/>
    <w:rsid w:val="00981F5A"/>
    <w:rsid w:val="00982715"/>
    <w:rsid w:val="00983D0C"/>
    <w:rsid w:val="00983DB6"/>
    <w:rsid w:val="00986577"/>
    <w:rsid w:val="00986B5C"/>
    <w:rsid w:val="0098797D"/>
    <w:rsid w:val="0099032C"/>
    <w:rsid w:val="00991874"/>
    <w:rsid w:val="009920F2"/>
    <w:rsid w:val="00993261"/>
    <w:rsid w:val="009939FA"/>
    <w:rsid w:val="00995227"/>
    <w:rsid w:val="0099557B"/>
    <w:rsid w:val="00995EE9"/>
    <w:rsid w:val="009964D8"/>
    <w:rsid w:val="00997311"/>
    <w:rsid w:val="009A055A"/>
    <w:rsid w:val="009A12B6"/>
    <w:rsid w:val="009B1013"/>
    <w:rsid w:val="009B1593"/>
    <w:rsid w:val="009B1AF5"/>
    <w:rsid w:val="009B22FB"/>
    <w:rsid w:val="009B3D17"/>
    <w:rsid w:val="009B54BA"/>
    <w:rsid w:val="009C045D"/>
    <w:rsid w:val="009C17C4"/>
    <w:rsid w:val="009C2AEC"/>
    <w:rsid w:val="009C35F5"/>
    <w:rsid w:val="009C4894"/>
    <w:rsid w:val="009C6DAC"/>
    <w:rsid w:val="009C7D1C"/>
    <w:rsid w:val="009D1D6F"/>
    <w:rsid w:val="009D21AF"/>
    <w:rsid w:val="009D2604"/>
    <w:rsid w:val="009D32CF"/>
    <w:rsid w:val="009D35BF"/>
    <w:rsid w:val="009D4BEF"/>
    <w:rsid w:val="009D66F8"/>
    <w:rsid w:val="009D76E9"/>
    <w:rsid w:val="009E04C4"/>
    <w:rsid w:val="009E096F"/>
    <w:rsid w:val="009E09B6"/>
    <w:rsid w:val="009E282C"/>
    <w:rsid w:val="009E4E59"/>
    <w:rsid w:val="009E5294"/>
    <w:rsid w:val="009E5FF8"/>
    <w:rsid w:val="009E64CF"/>
    <w:rsid w:val="009E67D9"/>
    <w:rsid w:val="009E6AC6"/>
    <w:rsid w:val="009F0136"/>
    <w:rsid w:val="009F0965"/>
    <w:rsid w:val="009F1E9B"/>
    <w:rsid w:val="009F2688"/>
    <w:rsid w:val="009F28CE"/>
    <w:rsid w:val="009F29ED"/>
    <w:rsid w:val="009F2AC4"/>
    <w:rsid w:val="009F4F0D"/>
    <w:rsid w:val="009F5CE0"/>
    <w:rsid w:val="009F5FE4"/>
    <w:rsid w:val="009F6D01"/>
    <w:rsid w:val="00A0069E"/>
    <w:rsid w:val="00A00F7B"/>
    <w:rsid w:val="00A01380"/>
    <w:rsid w:val="00A01B14"/>
    <w:rsid w:val="00A02075"/>
    <w:rsid w:val="00A02FB2"/>
    <w:rsid w:val="00A038FD"/>
    <w:rsid w:val="00A05465"/>
    <w:rsid w:val="00A05D10"/>
    <w:rsid w:val="00A062A5"/>
    <w:rsid w:val="00A07736"/>
    <w:rsid w:val="00A1029F"/>
    <w:rsid w:val="00A109A7"/>
    <w:rsid w:val="00A1168E"/>
    <w:rsid w:val="00A118EB"/>
    <w:rsid w:val="00A11D1B"/>
    <w:rsid w:val="00A133BC"/>
    <w:rsid w:val="00A142EF"/>
    <w:rsid w:val="00A1433C"/>
    <w:rsid w:val="00A157A9"/>
    <w:rsid w:val="00A202F7"/>
    <w:rsid w:val="00A20BCD"/>
    <w:rsid w:val="00A2119D"/>
    <w:rsid w:val="00A227CC"/>
    <w:rsid w:val="00A22B4B"/>
    <w:rsid w:val="00A246BA"/>
    <w:rsid w:val="00A264B7"/>
    <w:rsid w:val="00A2655D"/>
    <w:rsid w:val="00A305AB"/>
    <w:rsid w:val="00A30EBA"/>
    <w:rsid w:val="00A310EC"/>
    <w:rsid w:val="00A3238F"/>
    <w:rsid w:val="00A323A5"/>
    <w:rsid w:val="00A32C70"/>
    <w:rsid w:val="00A32E01"/>
    <w:rsid w:val="00A32F9E"/>
    <w:rsid w:val="00A353CE"/>
    <w:rsid w:val="00A35F5F"/>
    <w:rsid w:val="00A3731F"/>
    <w:rsid w:val="00A37CE7"/>
    <w:rsid w:val="00A4251B"/>
    <w:rsid w:val="00A4341A"/>
    <w:rsid w:val="00A4385A"/>
    <w:rsid w:val="00A439EF"/>
    <w:rsid w:val="00A44094"/>
    <w:rsid w:val="00A45E19"/>
    <w:rsid w:val="00A4624F"/>
    <w:rsid w:val="00A47CEB"/>
    <w:rsid w:val="00A47F9C"/>
    <w:rsid w:val="00A5009C"/>
    <w:rsid w:val="00A50602"/>
    <w:rsid w:val="00A53161"/>
    <w:rsid w:val="00A535D4"/>
    <w:rsid w:val="00A5397B"/>
    <w:rsid w:val="00A55438"/>
    <w:rsid w:val="00A558E5"/>
    <w:rsid w:val="00A55927"/>
    <w:rsid w:val="00A55AB8"/>
    <w:rsid w:val="00A55CEE"/>
    <w:rsid w:val="00A5789F"/>
    <w:rsid w:val="00A5793C"/>
    <w:rsid w:val="00A57E61"/>
    <w:rsid w:val="00A62312"/>
    <w:rsid w:val="00A652DB"/>
    <w:rsid w:val="00A679AC"/>
    <w:rsid w:val="00A679CB"/>
    <w:rsid w:val="00A71628"/>
    <w:rsid w:val="00A7201F"/>
    <w:rsid w:val="00A73578"/>
    <w:rsid w:val="00A74B9A"/>
    <w:rsid w:val="00A75B1E"/>
    <w:rsid w:val="00A75DC5"/>
    <w:rsid w:val="00A76598"/>
    <w:rsid w:val="00A77DC8"/>
    <w:rsid w:val="00A82CA0"/>
    <w:rsid w:val="00A848FA"/>
    <w:rsid w:val="00A84D70"/>
    <w:rsid w:val="00A86E24"/>
    <w:rsid w:val="00A870F9"/>
    <w:rsid w:val="00A872C3"/>
    <w:rsid w:val="00A87B70"/>
    <w:rsid w:val="00A92FF8"/>
    <w:rsid w:val="00A97FD5"/>
    <w:rsid w:val="00AA2A47"/>
    <w:rsid w:val="00AA49B8"/>
    <w:rsid w:val="00AA4EEA"/>
    <w:rsid w:val="00AA5B2D"/>
    <w:rsid w:val="00AA6F76"/>
    <w:rsid w:val="00AA780F"/>
    <w:rsid w:val="00AA7AC6"/>
    <w:rsid w:val="00AB003C"/>
    <w:rsid w:val="00AB04A0"/>
    <w:rsid w:val="00AB0699"/>
    <w:rsid w:val="00AB1889"/>
    <w:rsid w:val="00AB2BDA"/>
    <w:rsid w:val="00AB2FC3"/>
    <w:rsid w:val="00AB46E6"/>
    <w:rsid w:val="00AB4FE1"/>
    <w:rsid w:val="00AB6189"/>
    <w:rsid w:val="00AB65E0"/>
    <w:rsid w:val="00AB77F4"/>
    <w:rsid w:val="00AB7F8B"/>
    <w:rsid w:val="00AC0759"/>
    <w:rsid w:val="00AC078F"/>
    <w:rsid w:val="00AC0A34"/>
    <w:rsid w:val="00AC39B6"/>
    <w:rsid w:val="00AC532E"/>
    <w:rsid w:val="00AC5D05"/>
    <w:rsid w:val="00AC68DD"/>
    <w:rsid w:val="00AC7D9D"/>
    <w:rsid w:val="00AD0228"/>
    <w:rsid w:val="00AD02CE"/>
    <w:rsid w:val="00AD078A"/>
    <w:rsid w:val="00AD09D0"/>
    <w:rsid w:val="00AD2892"/>
    <w:rsid w:val="00AD37E8"/>
    <w:rsid w:val="00AD4605"/>
    <w:rsid w:val="00AD52DE"/>
    <w:rsid w:val="00AD562B"/>
    <w:rsid w:val="00AD5C7C"/>
    <w:rsid w:val="00AD664D"/>
    <w:rsid w:val="00AD7DF9"/>
    <w:rsid w:val="00AE1E70"/>
    <w:rsid w:val="00AE1F20"/>
    <w:rsid w:val="00AE25B2"/>
    <w:rsid w:val="00AE2708"/>
    <w:rsid w:val="00AE2B4C"/>
    <w:rsid w:val="00AE41F1"/>
    <w:rsid w:val="00AE5FE8"/>
    <w:rsid w:val="00AE67FB"/>
    <w:rsid w:val="00AF0A8A"/>
    <w:rsid w:val="00AF1FD9"/>
    <w:rsid w:val="00AF218A"/>
    <w:rsid w:val="00AF3CBE"/>
    <w:rsid w:val="00AF43BB"/>
    <w:rsid w:val="00AF5169"/>
    <w:rsid w:val="00B00B65"/>
    <w:rsid w:val="00B01040"/>
    <w:rsid w:val="00B02B44"/>
    <w:rsid w:val="00B04233"/>
    <w:rsid w:val="00B04851"/>
    <w:rsid w:val="00B05E20"/>
    <w:rsid w:val="00B07851"/>
    <w:rsid w:val="00B1108E"/>
    <w:rsid w:val="00B116A2"/>
    <w:rsid w:val="00B117A4"/>
    <w:rsid w:val="00B12782"/>
    <w:rsid w:val="00B128A0"/>
    <w:rsid w:val="00B14858"/>
    <w:rsid w:val="00B15E46"/>
    <w:rsid w:val="00B162D5"/>
    <w:rsid w:val="00B17842"/>
    <w:rsid w:val="00B17C32"/>
    <w:rsid w:val="00B20971"/>
    <w:rsid w:val="00B20F27"/>
    <w:rsid w:val="00B21FA3"/>
    <w:rsid w:val="00B23A0A"/>
    <w:rsid w:val="00B27F50"/>
    <w:rsid w:val="00B30FBF"/>
    <w:rsid w:val="00B31E5A"/>
    <w:rsid w:val="00B33504"/>
    <w:rsid w:val="00B33688"/>
    <w:rsid w:val="00B33A47"/>
    <w:rsid w:val="00B3593E"/>
    <w:rsid w:val="00B3617B"/>
    <w:rsid w:val="00B361E4"/>
    <w:rsid w:val="00B3741A"/>
    <w:rsid w:val="00B37460"/>
    <w:rsid w:val="00B37CF0"/>
    <w:rsid w:val="00B37D04"/>
    <w:rsid w:val="00B40702"/>
    <w:rsid w:val="00B41082"/>
    <w:rsid w:val="00B43523"/>
    <w:rsid w:val="00B44BA9"/>
    <w:rsid w:val="00B45A34"/>
    <w:rsid w:val="00B4743C"/>
    <w:rsid w:val="00B47CE6"/>
    <w:rsid w:val="00B47D85"/>
    <w:rsid w:val="00B47E5B"/>
    <w:rsid w:val="00B503FF"/>
    <w:rsid w:val="00B51286"/>
    <w:rsid w:val="00B51714"/>
    <w:rsid w:val="00B51CD0"/>
    <w:rsid w:val="00B53B47"/>
    <w:rsid w:val="00B554D6"/>
    <w:rsid w:val="00B560F2"/>
    <w:rsid w:val="00B5719F"/>
    <w:rsid w:val="00B605DF"/>
    <w:rsid w:val="00B6064A"/>
    <w:rsid w:val="00B607C2"/>
    <w:rsid w:val="00B61878"/>
    <w:rsid w:val="00B62A2B"/>
    <w:rsid w:val="00B63925"/>
    <w:rsid w:val="00B6485B"/>
    <w:rsid w:val="00B64BBE"/>
    <w:rsid w:val="00B6629B"/>
    <w:rsid w:val="00B679E4"/>
    <w:rsid w:val="00B706A6"/>
    <w:rsid w:val="00B733E8"/>
    <w:rsid w:val="00B734DD"/>
    <w:rsid w:val="00B73804"/>
    <w:rsid w:val="00B760FF"/>
    <w:rsid w:val="00B77C4F"/>
    <w:rsid w:val="00B8179F"/>
    <w:rsid w:val="00B81C7B"/>
    <w:rsid w:val="00B82447"/>
    <w:rsid w:val="00B843C4"/>
    <w:rsid w:val="00B85CE8"/>
    <w:rsid w:val="00B8606A"/>
    <w:rsid w:val="00B8628F"/>
    <w:rsid w:val="00B87303"/>
    <w:rsid w:val="00B87392"/>
    <w:rsid w:val="00B87AFC"/>
    <w:rsid w:val="00B90991"/>
    <w:rsid w:val="00B92B4D"/>
    <w:rsid w:val="00B93165"/>
    <w:rsid w:val="00B9316E"/>
    <w:rsid w:val="00B93B8E"/>
    <w:rsid w:val="00B95102"/>
    <w:rsid w:val="00B95792"/>
    <w:rsid w:val="00B95B59"/>
    <w:rsid w:val="00B9780C"/>
    <w:rsid w:val="00B97BED"/>
    <w:rsid w:val="00BA0428"/>
    <w:rsid w:val="00BA18C9"/>
    <w:rsid w:val="00BA194E"/>
    <w:rsid w:val="00BA4B94"/>
    <w:rsid w:val="00BA7263"/>
    <w:rsid w:val="00BB088B"/>
    <w:rsid w:val="00BB0D84"/>
    <w:rsid w:val="00BB2741"/>
    <w:rsid w:val="00BB2C9B"/>
    <w:rsid w:val="00BB324F"/>
    <w:rsid w:val="00BB5F89"/>
    <w:rsid w:val="00BB6A42"/>
    <w:rsid w:val="00BB72C2"/>
    <w:rsid w:val="00BB7EC3"/>
    <w:rsid w:val="00BC040A"/>
    <w:rsid w:val="00BC101F"/>
    <w:rsid w:val="00BC10F5"/>
    <w:rsid w:val="00BC115F"/>
    <w:rsid w:val="00BC3AFA"/>
    <w:rsid w:val="00BC7380"/>
    <w:rsid w:val="00BD1156"/>
    <w:rsid w:val="00BD15E5"/>
    <w:rsid w:val="00BD3499"/>
    <w:rsid w:val="00BD5577"/>
    <w:rsid w:val="00BD5CAE"/>
    <w:rsid w:val="00BD68B1"/>
    <w:rsid w:val="00BD761D"/>
    <w:rsid w:val="00BE03C8"/>
    <w:rsid w:val="00BE081F"/>
    <w:rsid w:val="00BE0FF0"/>
    <w:rsid w:val="00BE1557"/>
    <w:rsid w:val="00BE424B"/>
    <w:rsid w:val="00BE4CF4"/>
    <w:rsid w:val="00BE5C2F"/>
    <w:rsid w:val="00BE7AEA"/>
    <w:rsid w:val="00BF13C3"/>
    <w:rsid w:val="00BF379C"/>
    <w:rsid w:val="00BF3916"/>
    <w:rsid w:val="00BF43E9"/>
    <w:rsid w:val="00BF5289"/>
    <w:rsid w:val="00BF6C21"/>
    <w:rsid w:val="00C00246"/>
    <w:rsid w:val="00C01220"/>
    <w:rsid w:val="00C01E20"/>
    <w:rsid w:val="00C03C79"/>
    <w:rsid w:val="00C049DC"/>
    <w:rsid w:val="00C05134"/>
    <w:rsid w:val="00C06F60"/>
    <w:rsid w:val="00C11D2D"/>
    <w:rsid w:val="00C124AA"/>
    <w:rsid w:val="00C12CA5"/>
    <w:rsid w:val="00C1354A"/>
    <w:rsid w:val="00C1425D"/>
    <w:rsid w:val="00C14781"/>
    <w:rsid w:val="00C1499D"/>
    <w:rsid w:val="00C177D7"/>
    <w:rsid w:val="00C20CDC"/>
    <w:rsid w:val="00C2123F"/>
    <w:rsid w:val="00C22874"/>
    <w:rsid w:val="00C22AD0"/>
    <w:rsid w:val="00C2367C"/>
    <w:rsid w:val="00C243C3"/>
    <w:rsid w:val="00C25627"/>
    <w:rsid w:val="00C26A73"/>
    <w:rsid w:val="00C26ECE"/>
    <w:rsid w:val="00C279E9"/>
    <w:rsid w:val="00C303D9"/>
    <w:rsid w:val="00C318BD"/>
    <w:rsid w:val="00C31C76"/>
    <w:rsid w:val="00C32724"/>
    <w:rsid w:val="00C328A0"/>
    <w:rsid w:val="00C36A19"/>
    <w:rsid w:val="00C400CB"/>
    <w:rsid w:val="00C429D3"/>
    <w:rsid w:val="00C42A19"/>
    <w:rsid w:val="00C42B52"/>
    <w:rsid w:val="00C42E47"/>
    <w:rsid w:val="00C47CB2"/>
    <w:rsid w:val="00C50B2A"/>
    <w:rsid w:val="00C51A64"/>
    <w:rsid w:val="00C521B7"/>
    <w:rsid w:val="00C54C15"/>
    <w:rsid w:val="00C55679"/>
    <w:rsid w:val="00C55B0E"/>
    <w:rsid w:val="00C564E2"/>
    <w:rsid w:val="00C5663B"/>
    <w:rsid w:val="00C56B99"/>
    <w:rsid w:val="00C56E05"/>
    <w:rsid w:val="00C577D7"/>
    <w:rsid w:val="00C610EC"/>
    <w:rsid w:val="00C63161"/>
    <w:rsid w:val="00C64ADB"/>
    <w:rsid w:val="00C66A9D"/>
    <w:rsid w:val="00C66BFE"/>
    <w:rsid w:val="00C66F17"/>
    <w:rsid w:val="00C678D9"/>
    <w:rsid w:val="00C70A3B"/>
    <w:rsid w:val="00C70B37"/>
    <w:rsid w:val="00C729A4"/>
    <w:rsid w:val="00C73E49"/>
    <w:rsid w:val="00C7461D"/>
    <w:rsid w:val="00C76A0B"/>
    <w:rsid w:val="00C76CAC"/>
    <w:rsid w:val="00C76DEA"/>
    <w:rsid w:val="00C77094"/>
    <w:rsid w:val="00C80134"/>
    <w:rsid w:val="00C824B4"/>
    <w:rsid w:val="00C84067"/>
    <w:rsid w:val="00C84C27"/>
    <w:rsid w:val="00C84FA0"/>
    <w:rsid w:val="00C8547F"/>
    <w:rsid w:val="00C86AB9"/>
    <w:rsid w:val="00C87D3E"/>
    <w:rsid w:val="00C9014F"/>
    <w:rsid w:val="00C90EA7"/>
    <w:rsid w:val="00C919A9"/>
    <w:rsid w:val="00C92011"/>
    <w:rsid w:val="00C92E18"/>
    <w:rsid w:val="00C94500"/>
    <w:rsid w:val="00C94606"/>
    <w:rsid w:val="00C95B0A"/>
    <w:rsid w:val="00C95D23"/>
    <w:rsid w:val="00C961E2"/>
    <w:rsid w:val="00C964F5"/>
    <w:rsid w:val="00C96840"/>
    <w:rsid w:val="00C97404"/>
    <w:rsid w:val="00CA0343"/>
    <w:rsid w:val="00CA0792"/>
    <w:rsid w:val="00CA07FA"/>
    <w:rsid w:val="00CA176D"/>
    <w:rsid w:val="00CA29C4"/>
    <w:rsid w:val="00CA39FC"/>
    <w:rsid w:val="00CA4369"/>
    <w:rsid w:val="00CA608D"/>
    <w:rsid w:val="00CA7337"/>
    <w:rsid w:val="00CB01FA"/>
    <w:rsid w:val="00CB0452"/>
    <w:rsid w:val="00CB1056"/>
    <w:rsid w:val="00CB164D"/>
    <w:rsid w:val="00CB2EA8"/>
    <w:rsid w:val="00CB31E3"/>
    <w:rsid w:val="00CB5BD1"/>
    <w:rsid w:val="00CB76CD"/>
    <w:rsid w:val="00CC01CD"/>
    <w:rsid w:val="00CC1C1D"/>
    <w:rsid w:val="00CC57BC"/>
    <w:rsid w:val="00CC5D12"/>
    <w:rsid w:val="00CC6873"/>
    <w:rsid w:val="00CD0147"/>
    <w:rsid w:val="00CD050A"/>
    <w:rsid w:val="00CD1BAD"/>
    <w:rsid w:val="00CD1EE8"/>
    <w:rsid w:val="00CD230B"/>
    <w:rsid w:val="00CD280D"/>
    <w:rsid w:val="00CD4438"/>
    <w:rsid w:val="00CD6C72"/>
    <w:rsid w:val="00CD71FE"/>
    <w:rsid w:val="00CE0B69"/>
    <w:rsid w:val="00CE3082"/>
    <w:rsid w:val="00CE3CDC"/>
    <w:rsid w:val="00CE3E5E"/>
    <w:rsid w:val="00CE4363"/>
    <w:rsid w:val="00CE4797"/>
    <w:rsid w:val="00CE5114"/>
    <w:rsid w:val="00CE5694"/>
    <w:rsid w:val="00CE5B9A"/>
    <w:rsid w:val="00CE755D"/>
    <w:rsid w:val="00CF0E59"/>
    <w:rsid w:val="00CF0F3D"/>
    <w:rsid w:val="00CF1013"/>
    <w:rsid w:val="00CF10C2"/>
    <w:rsid w:val="00CF11A2"/>
    <w:rsid w:val="00CF45AA"/>
    <w:rsid w:val="00CF486E"/>
    <w:rsid w:val="00CF6433"/>
    <w:rsid w:val="00CF6E29"/>
    <w:rsid w:val="00CF7D85"/>
    <w:rsid w:val="00D00136"/>
    <w:rsid w:val="00D0148C"/>
    <w:rsid w:val="00D01A48"/>
    <w:rsid w:val="00D04021"/>
    <w:rsid w:val="00D04E66"/>
    <w:rsid w:val="00D11404"/>
    <w:rsid w:val="00D114AD"/>
    <w:rsid w:val="00D11BD8"/>
    <w:rsid w:val="00D11F37"/>
    <w:rsid w:val="00D12A3A"/>
    <w:rsid w:val="00D13A18"/>
    <w:rsid w:val="00D14E01"/>
    <w:rsid w:val="00D16628"/>
    <w:rsid w:val="00D17DDB"/>
    <w:rsid w:val="00D17FAE"/>
    <w:rsid w:val="00D24504"/>
    <w:rsid w:val="00D25262"/>
    <w:rsid w:val="00D25887"/>
    <w:rsid w:val="00D25FC4"/>
    <w:rsid w:val="00D2759C"/>
    <w:rsid w:val="00D322AA"/>
    <w:rsid w:val="00D3286E"/>
    <w:rsid w:val="00D33ACC"/>
    <w:rsid w:val="00D33E83"/>
    <w:rsid w:val="00D34496"/>
    <w:rsid w:val="00D3517E"/>
    <w:rsid w:val="00D35F7E"/>
    <w:rsid w:val="00D35FA5"/>
    <w:rsid w:val="00D401B8"/>
    <w:rsid w:val="00D408C4"/>
    <w:rsid w:val="00D40D3B"/>
    <w:rsid w:val="00D40DDA"/>
    <w:rsid w:val="00D40E20"/>
    <w:rsid w:val="00D41016"/>
    <w:rsid w:val="00D41E6D"/>
    <w:rsid w:val="00D42FE5"/>
    <w:rsid w:val="00D43614"/>
    <w:rsid w:val="00D43BEA"/>
    <w:rsid w:val="00D4554C"/>
    <w:rsid w:val="00D478FD"/>
    <w:rsid w:val="00D47E09"/>
    <w:rsid w:val="00D50E6D"/>
    <w:rsid w:val="00D51277"/>
    <w:rsid w:val="00D520BB"/>
    <w:rsid w:val="00D52B57"/>
    <w:rsid w:val="00D538A5"/>
    <w:rsid w:val="00D54C21"/>
    <w:rsid w:val="00D567AE"/>
    <w:rsid w:val="00D607A2"/>
    <w:rsid w:val="00D60A20"/>
    <w:rsid w:val="00D641CC"/>
    <w:rsid w:val="00D6442B"/>
    <w:rsid w:val="00D64492"/>
    <w:rsid w:val="00D6637E"/>
    <w:rsid w:val="00D665D3"/>
    <w:rsid w:val="00D678DA"/>
    <w:rsid w:val="00D704F5"/>
    <w:rsid w:val="00D70D6C"/>
    <w:rsid w:val="00D72949"/>
    <w:rsid w:val="00D7295D"/>
    <w:rsid w:val="00D7327A"/>
    <w:rsid w:val="00D737DD"/>
    <w:rsid w:val="00D74351"/>
    <w:rsid w:val="00D74A58"/>
    <w:rsid w:val="00D758B8"/>
    <w:rsid w:val="00D77717"/>
    <w:rsid w:val="00D8144C"/>
    <w:rsid w:val="00D81679"/>
    <w:rsid w:val="00D8172F"/>
    <w:rsid w:val="00D83ACF"/>
    <w:rsid w:val="00D84571"/>
    <w:rsid w:val="00D84893"/>
    <w:rsid w:val="00D848C6"/>
    <w:rsid w:val="00D85D1D"/>
    <w:rsid w:val="00D87504"/>
    <w:rsid w:val="00D879B8"/>
    <w:rsid w:val="00D90546"/>
    <w:rsid w:val="00D90C3C"/>
    <w:rsid w:val="00D91289"/>
    <w:rsid w:val="00D915DE"/>
    <w:rsid w:val="00D91F6F"/>
    <w:rsid w:val="00D92C9B"/>
    <w:rsid w:val="00D936FA"/>
    <w:rsid w:val="00D9561E"/>
    <w:rsid w:val="00D959D6"/>
    <w:rsid w:val="00D95E78"/>
    <w:rsid w:val="00D9660C"/>
    <w:rsid w:val="00D970D3"/>
    <w:rsid w:val="00D973E1"/>
    <w:rsid w:val="00DA0E9D"/>
    <w:rsid w:val="00DA1229"/>
    <w:rsid w:val="00DA2493"/>
    <w:rsid w:val="00DA408B"/>
    <w:rsid w:val="00DA5DB5"/>
    <w:rsid w:val="00DA60E0"/>
    <w:rsid w:val="00DA6B53"/>
    <w:rsid w:val="00DA6FA4"/>
    <w:rsid w:val="00DA78B1"/>
    <w:rsid w:val="00DB1AE6"/>
    <w:rsid w:val="00DB1CAE"/>
    <w:rsid w:val="00DB1CD2"/>
    <w:rsid w:val="00DB25DF"/>
    <w:rsid w:val="00DB2D46"/>
    <w:rsid w:val="00DB3770"/>
    <w:rsid w:val="00DB37D6"/>
    <w:rsid w:val="00DB3908"/>
    <w:rsid w:val="00DB3976"/>
    <w:rsid w:val="00DB4C23"/>
    <w:rsid w:val="00DB5A4E"/>
    <w:rsid w:val="00DB67AD"/>
    <w:rsid w:val="00DB7B78"/>
    <w:rsid w:val="00DC0130"/>
    <w:rsid w:val="00DC0AD6"/>
    <w:rsid w:val="00DC0D00"/>
    <w:rsid w:val="00DC1285"/>
    <w:rsid w:val="00DC294A"/>
    <w:rsid w:val="00DC2B0A"/>
    <w:rsid w:val="00DC2F41"/>
    <w:rsid w:val="00DC337A"/>
    <w:rsid w:val="00DC52F0"/>
    <w:rsid w:val="00DD0C2F"/>
    <w:rsid w:val="00DD1691"/>
    <w:rsid w:val="00DD2D2E"/>
    <w:rsid w:val="00DD422B"/>
    <w:rsid w:val="00DD475D"/>
    <w:rsid w:val="00DD5A06"/>
    <w:rsid w:val="00DD7468"/>
    <w:rsid w:val="00DD782D"/>
    <w:rsid w:val="00DD7A21"/>
    <w:rsid w:val="00DE00AE"/>
    <w:rsid w:val="00DE0DFC"/>
    <w:rsid w:val="00DE1290"/>
    <w:rsid w:val="00DE29DC"/>
    <w:rsid w:val="00DE29EB"/>
    <w:rsid w:val="00DE2C64"/>
    <w:rsid w:val="00DE2C85"/>
    <w:rsid w:val="00DE5648"/>
    <w:rsid w:val="00DE5BC2"/>
    <w:rsid w:val="00DE5CF0"/>
    <w:rsid w:val="00DE6987"/>
    <w:rsid w:val="00DF0786"/>
    <w:rsid w:val="00DF2636"/>
    <w:rsid w:val="00DF3771"/>
    <w:rsid w:val="00DF4EF4"/>
    <w:rsid w:val="00DF5820"/>
    <w:rsid w:val="00DF5914"/>
    <w:rsid w:val="00DF6215"/>
    <w:rsid w:val="00DF7DF6"/>
    <w:rsid w:val="00E00A7F"/>
    <w:rsid w:val="00E020EF"/>
    <w:rsid w:val="00E0232A"/>
    <w:rsid w:val="00E02FA8"/>
    <w:rsid w:val="00E03309"/>
    <w:rsid w:val="00E04365"/>
    <w:rsid w:val="00E0588B"/>
    <w:rsid w:val="00E06011"/>
    <w:rsid w:val="00E0726C"/>
    <w:rsid w:val="00E10222"/>
    <w:rsid w:val="00E11A36"/>
    <w:rsid w:val="00E11D32"/>
    <w:rsid w:val="00E1423C"/>
    <w:rsid w:val="00E1451A"/>
    <w:rsid w:val="00E151B8"/>
    <w:rsid w:val="00E15ACC"/>
    <w:rsid w:val="00E172C8"/>
    <w:rsid w:val="00E17E65"/>
    <w:rsid w:val="00E201B5"/>
    <w:rsid w:val="00E2034E"/>
    <w:rsid w:val="00E215E4"/>
    <w:rsid w:val="00E21CD8"/>
    <w:rsid w:val="00E22F61"/>
    <w:rsid w:val="00E244D8"/>
    <w:rsid w:val="00E24A6C"/>
    <w:rsid w:val="00E25664"/>
    <w:rsid w:val="00E25683"/>
    <w:rsid w:val="00E25CA6"/>
    <w:rsid w:val="00E325DB"/>
    <w:rsid w:val="00E32EBE"/>
    <w:rsid w:val="00E34CAB"/>
    <w:rsid w:val="00E34D20"/>
    <w:rsid w:val="00E34F8F"/>
    <w:rsid w:val="00E35B8C"/>
    <w:rsid w:val="00E35E6C"/>
    <w:rsid w:val="00E3601E"/>
    <w:rsid w:val="00E36402"/>
    <w:rsid w:val="00E3713F"/>
    <w:rsid w:val="00E37556"/>
    <w:rsid w:val="00E37D3A"/>
    <w:rsid w:val="00E37D9B"/>
    <w:rsid w:val="00E40B6D"/>
    <w:rsid w:val="00E4299A"/>
    <w:rsid w:val="00E43F46"/>
    <w:rsid w:val="00E44019"/>
    <w:rsid w:val="00E447FA"/>
    <w:rsid w:val="00E44CBE"/>
    <w:rsid w:val="00E45BC5"/>
    <w:rsid w:val="00E45E5A"/>
    <w:rsid w:val="00E469D6"/>
    <w:rsid w:val="00E46D74"/>
    <w:rsid w:val="00E5475A"/>
    <w:rsid w:val="00E54806"/>
    <w:rsid w:val="00E56A8B"/>
    <w:rsid w:val="00E56DF1"/>
    <w:rsid w:val="00E57B10"/>
    <w:rsid w:val="00E6057B"/>
    <w:rsid w:val="00E605C5"/>
    <w:rsid w:val="00E60987"/>
    <w:rsid w:val="00E61413"/>
    <w:rsid w:val="00E61937"/>
    <w:rsid w:val="00E62DFC"/>
    <w:rsid w:val="00E635A3"/>
    <w:rsid w:val="00E63BDA"/>
    <w:rsid w:val="00E642DE"/>
    <w:rsid w:val="00E6471F"/>
    <w:rsid w:val="00E65037"/>
    <w:rsid w:val="00E6587E"/>
    <w:rsid w:val="00E65C28"/>
    <w:rsid w:val="00E66658"/>
    <w:rsid w:val="00E66A27"/>
    <w:rsid w:val="00E673C5"/>
    <w:rsid w:val="00E674CD"/>
    <w:rsid w:val="00E67DCA"/>
    <w:rsid w:val="00E7315F"/>
    <w:rsid w:val="00E7341D"/>
    <w:rsid w:val="00E75E35"/>
    <w:rsid w:val="00E765F9"/>
    <w:rsid w:val="00E803DC"/>
    <w:rsid w:val="00E805AC"/>
    <w:rsid w:val="00E80835"/>
    <w:rsid w:val="00E81A8A"/>
    <w:rsid w:val="00E81E00"/>
    <w:rsid w:val="00E824C0"/>
    <w:rsid w:val="00E8262D"/>
    <w:rsid w:val="00E8432A"/>
    <w:rsid w:val="00E843FE"/>
    <w:rsid w:val="00E8462E"/>
    <w:rsid w:val="00E84FD7"/>
    <w:rsid w:val="00E86F91"/>
    <w:rsid w:val="00E90938"/>
    <w:rsid w:val="00E910AE"/>
    <w:rsid w:val="00E912B5"/>
    <w:rsid w:val="00E925BA"/>
    <w:rsid w:val="00E92F34"/>
    <w:rsid w:val="00E9348C"/>
    <w:rsid w:val="00E94045"/>
    <w:rsid w:val="00E952F6"/>
    <w:rsid w:val="00E95A36"/>
    <w:rsid w:val="00E95CFF"/>
    <w:rsid w:val="00E95F21"/>
    <w:rsid w:val="00E96145"/>
    <w:rsid w:val="00E97218"/>
    <w:rsid w:val="00EA06CD"/>
    <w:rsid w:val="00EA0CE6"/>
    <w:rsid w:val="00EA1998"/>
    <w:rsid w:val="00EA1FEF"/>
    <w:rsid w:val="00EA2348"/>
    <w:rsid w:val="00EA2355"/>
    <w:rsid w:val="00EA3E23"/>
    <w:rsid w:val="00EA7817"/>
    <w:rsid w:val="00EB062E"/>
    <w:rsid w:val="00EB0FF0"/>
    <w:rsid w:val="00EB1010"/>
    <w:rsid w:val="00EB1344"/>
    <w:rsid w:val="00EB13CC"/>
    <w:rsid w:val="00EB14B2"/>
    <w:rsid w:val="00EB18DF"/>
    <w:rsid w:val="00EB2880"/>
    <w:rsid w:val="00EB3BF9"/>
    <w:rsid w:val="00EB4389"/>
    <w:rsid w:val="00EB7F0A"/>
    <w:rsid w:val="00EC2F5A"/>
    <w:rsid w:val="00EC47D6"/>
    <w:rsid w:val="00EC52E8"/>
    <w:rsid w:val="00EC582B"/>
    <w:rsid w:val="00EC7B8A"/>
    <w:rsid w:val="00ED0256"/>
    <w:rsid w:val="00ED09B5"/>
    <w:rsid w:val="00ED0E98"/>
    <w:rsid w:val="00ED3231"/>
    <w:rsid w:val="00ED5973"/>
    <w:rsid w:val="00ED7F23"/>
    <w:rsid w:val="00EE0936"/>
    <w:rsid w:val="00EE0C3C"/>
    <w:rsid w:val="00EE1A2B"/>
    <w:rsid w:val="00EE2BF8"/>
    <w:rsid w:val="00EE35CB"/>
    <w:rsid w:val="00EE3614"/>
    <w:rsid w:val="00EE5E78"/>
    <w:rsid w:val="00EE6E1F"/>
    <w:rsid w:val="00EE6F60"/>
    <w:rsid w:val="00EF012D"/>
    <w:rsid w:val="00EF0E7A"/>
    <w:rsid w:val="00EF0EF4"/>
    <w:rsid w:val="00EF22D6"/>
    <w:rsid w:val="00EF33F8"/>
    <w:rsid w:val="00EF3432"/>
    <w:rsid w:val="00EF3693"/>
    <w:rsid w:val="00EF3A9C"/>
    <w:rsid w:val="00EF489C"/>
    <w:rsid w:val="00EF4BD3"/>
    <w:rsid w:val="00EF4FF6"/>
    <w:rsid w:val="00EF6010"/>
    <w:rsid w:val="00F003AB"/>
    <w:rsid w:val="00F045B7"/>
    <w:rsid w:val="00F04AF1"/>
    <w:rsid w:val="00F04E91"/>
    <w:rsid w:val="00F06CCA"/>
    <w:rsid w:val="00F10BED"/>
    <w:rsid w:val="00F1144D"/>
    <w:rsid w:val="00F11D88"/>
    <w:rsid w:val="00F124EE"/>
    <w:rsid w:val="00F12BE0"/>
    <w:rsid w:val="00F12D51"/>
    <w:rsid w:val="00F16C54"/>
    <w:rsid w:val="00F170D0"/>
    <w:rsid w:val="00F20B71"/>
    <w:rsid w:val="00F21587"/>
    <w:rsid w:val="00F216C1"/>
    <w:rsid w:val="00F224B8"/>
    <w:rsid w:val="00F22689"/>
    <w:rsid w:val="00F229AC"/>
    <w:rsid w:val="00F22FD7"/>
    <w:rsid w:val="00F23FDD"/>
    <w:rsid w:val="00F273B1"/>
    <w:rsid w:val="00F2797D"/>
    <w:rsid w:val="00F30B86"/>
    <w:rsid w:val="00F314EB"/>
    <w:rsid w:val="00F31F3C"/>
    <w:rsid w:val="00F32B58"/>
    <w:rsid w:val="00F330E5"/>
    <w:rsid w:val="00F343E8"/>
    <w:rsid w:val="00F344AD"/>
    <w:rsid w:val="00F34F74"/>
    <w:rsid w:val="00F36F5E"/>
    <w:rsid w:val="00F379D9"/>
    <w:rsid w:val="00F421FB"/>
    <w:rsid w:val="00F4335F"/>
    <w:rsid w:val="00F43495"/>
    <w:rsid w:val="00F43765"/>
    <w:rsid w:val="00F43E53"/>
    <w:rsid w:val="00F4474B"/>
    <w:rsid w:val="00F44C2D"/>
    <w:rsid w:val="00F4517C"/>
    <w:rsid w:val="00F45A7C"/>
    <w:rsid w:val="00F46579"/>
    <w:rsid w:val="00F467EB"/>
    <w:rsid w:val="00F4774E"/>
    <w:rsid w:val="00F511D0"/>
    <w:rsid w:val="00F5120D"/>
    <w:rsid w:val="00F517D6"/>
    <w:rsid w:val="00F5196E"/>
    <w:rsid w:val="00F527E0"/>
    <w:rsid w:val="00F53187"/>
    <w:rsid w:val="00F5332F"/>
    <w:rsid w:val="00F5396F"/>
    <w:rsid w:val="00F54B95"/>
    <w:rsid w:val="00F558F3"/>
    <w:rsid w:val="00F56C94"/>
    <w:rsid w:val="00F574B5"/>
    <w:rsid w:val="00F601DD"/>
    <w:rsid w:val="00F610A8"/>
    <w:rsid w:val="00F614F1"/>
    <w:rsid w:val="00F62622"/>
    <w:rsid w:val="00F6307C"/>
    <w:rsid w:val="00F64684"/>
    <w:rsid w:val="00F6472E"/>
    <w:rsid w:val="00F656CA"/>
    <w:rsid w:val="00F66300"/>
    <w:rsid w:val="00F67528"/>
    <w:rsid w:val="00F700DF"/>
    <w:rsid w:val="00F70533"/>
    <w:rsid w:val="00F71779"/>
    <w:rsid w:val="00F71FF0"/>
    <w:rsid w:val="00F72412"/>
    <w:rsid w:val="00F7429B"/>
    <w:rsid w:val="00F74340"/>
    <w:rsid w:val="00F74B9F"/>
    <w:rsid w:val="00F758E1"/>
    <w:rsid w:val="00F75F00"/>
    <w:rsid w:val="00F75FB0"/>
    <w:rsid w:val="00F76089"/>
    <w:rsid w:val="00F770A5"/>
    <w:rsid w:val="00F772DF"/>
    <w:rsid w:val="00F77E6C"/>
    <w:rsid w:val="00F8017D"/>
    <w:rsid w:val="00F8092A"/>
    <w:rsid w:val="00F81130"/>
    <w:rsid w:val="00F8340A"/>
    <w:rsid w:val="00F869FB"/>
    <w:rsid w:val="00F907A0"/>
    <w:rsid w:val="00F91AB2"/>
    <w:rsid w:val="00F92948"/>
    <w:rsid w:val="00F92F8A"/>
    <w:rsid w:val="00F93A86"/>
    <w:rsid w:val="00F93EA7"/>
    <w:rsid w:val="00F93F35"/>
    <w:rsid w:val="00F944CB"/>
    <w:rsid w:val="00F94A60"/>
    <w:rsid w:val="00FA32A5"/>
    <w:rsid w:val="00FA3453"/>
    <w:rsid w:val="00FA4A14"/>
    <w:rsid w:val="00FA58E6"/>
    <w:rsid w:val="00FA675C"/>
    <w:rsid w:val="00FA79CE"/>
    <w:rsid w:val="00FB0904"/>
    <w:rsid w:val="00FB103B"/>
    <w:rsid w:val="00FB17AB"/>
    <w:rsid w:val="00FB2306"/>
    <w:rsid w:val="00FB2BAD"/>
    <w:rsid w:val="00FB2C64"/>
    <w:rsid w:val="00FB3A46"/>
    <w:rsid w:val="00FB451F"/>
    <w:rsid w:val="00FB7837"/>
    <w:rsid w:val="00FC3427"/>
    <w:rsid w:val="00FC452F"/>
    <w:rsid w:val="00FC5985"/>
    <w:rsid w:val="00FD039E"/>
    <w:rsid w:val="00FD521D"/>
    <w:rsid w:val="00FD64CE"/>
    <w:rsid w:val="00FD6D3C"/>
    <w:rsid w:val="00FE06BD"/>
    <w:rsid w:val="00FE3290"/>
    <w:rsid w:val="00FE3A04"/>
    <w:rsid w:val="00FE3B8E"/>
    <w:rsid w:val="00FE5284"/>
    <w:rsid w:val="00FE5DC9"/>
    <w:rsid w:val="00FE63C1"/>
    <w:rsid w:val="00FE6446"/>
    <w:rsid w:val="00FE6AE4"/>
    <w:rsid w:val="00FE71E9"/>
    <w:rsid w:val="00FF2D1F"/>
    <w:rsid w:val="00FF3A22"/>
    <w:rsid w:val="00FF4958"/>
    <w:rsid w:val="00FF5DB3"/>
    <w:rsid w:val="00FF5E2E"/>
    <w:rsid w:val="00FF606C"/>
    <w:rsid w:val="00FF6255"/>
    <w:rsid w:val="00FF64D9"/>
    <w:rsid w:val="00FF6E76"/>
    <w:rsid w:val="01124282"/>
    <w:rsid w:val="01247949"/>
    <w:rsid w:val="0152274B"/>
    <w:rsid w:val="017E71DA"/>
    <w:rsid w:val="01BA0A65"/>
    <w:rsid w:val="01BB65D4"/>
    <w:rsid w:val="01D96128"/>
    <w:rsid w:val="01ED4B29"/>
    <w:rsid w:val="02834577"/>
    <w:rsid w:val="02835AE4"/>
    <w:rsid w:val="02B1384E"/>
    <w:rsid w:val="02CC653B"/>
    <w:rsid w:val="03133E1F"/>
    <w:rsid w:val="034C7C02"/>
    <w:rsid w:val="0362189E"/>
    <w:rsid w:val="03C025C7"/>
    <w:rsid w:val="03CE1DC9"/>
    <w:rsid w:val="03DB3959"/>
    <w:rsid w:val="03ED6B7B"/>
    <w:rsid w:val="03EF30EC"/>
    <w:rsid w:val="03F94CE2"/>
    <w:rsid w:val="0409527F"/>
    <w:rsid w:val="040D78AC"/>
    <w:rsid w:val="046201BD"/>
    <w:rsid w:val="0481309F"/>
    <w:rsid w:val="049A3609"/>
    <w:rsid w:val="049D12B3"/>
    <w:rsid w:val="050C346D"/>
    <w:rsid w:val="053317E6"/>
    <w:rsid w:val="05340EC6"/>
    <w:rsid w:val="054315B1"/>
    <w:rsid w:val="057E0398"/>
    <w:rsid w:val="05E416AC"/>
    <w:rsid w:val="062B7952"/>
    <w:rsid w:val="06762E53"/>
    <w:rsid w:val="069E7B76"/>
    <w:rsid w:val="069F0411"/>
    <w:rsid w:val="06F663A5"/>
    <w:rsid w:val="07202760"/>
    <w:rsid w:val="073716D8"/>
    <w:rsid w:val="0763085E"/>
    <w:rsid w:val="07C60740"/>
    <w:rsid w:val="07DB0A1F"/>
    <w:rsid w:val="08237B36"/>
    <w:rsid w:val="0876619C"/>
    <w:rsid w:val="087D58C2"/>
    <w:rsid w:val="088034A1"/>
    <w:rsid w:val="08811B54"/>
    <w:rsid w:val="088272E0"/>
    <w:rsid w:val="088359BF"/>
    <w:rsid w:val="08B6185E"/>
    <w:rsid w:val="08C131B3"/>
    <w:rsid w:val="08EE583C"/>
    <w:rsid w:val="09761887"/>
    <w:rsid w:val="097D3DD5"/>
    <w:rsid w:val="098B64D8"/>
    <w:rsid w:val="099F05BA"/>
    <w:rsid w:val="09BB192B"/>
    <w:rsid w:val="09D36405"/>
    <w:rsid w:val="09DD6E63"/>
    <w:rsid w:val="0A5E05B6"/>
    <w:rsid w:val="0A612116"/>
    <w:rsid w:val="0A703F37"/>
    <w:rsid w:val="0A7440E4"/>
    <w:rsid w:val="0A920518"/>
    <w:rsid w:val="0ABB4EEC"/>
    <w:rsid w:val="0AD551C6"/>
    <w:rsid w:val="0AD84DA2"/>
    <w:rsid w:val="0AD86577"/>
    <w:rsid w:val="0AE8317C"/>
    <w:rsid w:val="0B0C7C00"/>
    <w:rsid w:val="0B1E3031"/>
    <w:rsid w:val="0B4F5B8B"/>
    <w:rsid w:val="0B641BDF"/>
    <w:rsid w:val="0B6F3EDE"/>
    <w:rsid w:val="0B791FF4"/>
    <w:rsid w:val="0B8D6579"/>
    <w:rsid w:val="0B8E68F9"/>
    <w:rsid w:val="0B9035FC"/>
    <w:rsid w:val="0BED20B9"/>
    <w:rsid w:val="0C2A5E93"/>
    <w:rsid w:val="0C817CF9"/>
    <w:rsid w:val="0C833E0A"/>
    <w:rsid w:val="0C9D6283"/>
    <w:rsid w:val="0CA9334F"/>
    <w:rsid w:val="0CD15E1B"/>
    <w:rsid w:val="0CDF7214"/>
    <w:rsid w:val="0D076A9E"/>
    <w:rsid w:val="0D3B279F"/>
    <w:rsid w:val="0D676D30"/>
    <w:rsid w:val="0D943483"/>
    <w:rsid w:val="0DA4528F"/>
    <w:rsid w:val="0DA713A6"/>
    <w:rsid w:val="0DB2100B"/>
    <w:rsid w:val="0DC71A4E"/>
    <w:rsid w:val="0DD9693C"/>
    <w:rsid w:val="0DEA09E6"/>
    <w:rsid w:val="0E1A7D99"/>
    <w:rsid w:val="0E4426AE"/>
    <w:rsid w:val="0E4E0E83"/>
    <w:rsid w:val="0E541E5A"/>
    <w:rsid w:val="0E62182A"/>
    <w:rsid w:val="0E6E5DA0"/>
    <w:rsid w:val="0EDF6C44"/>
    <w:rsid w:val="0F04270E"/>
    <w:rsid w:val="0F1652DA"/>
    <w:rsid w:val="0F2E4B3A"/>
    <w:rsid w:val="0F615550"/>
    <w:rsid w:val="0F994101"/>
    <w:rsid w:val="0FA5797B"/>
    <w:rsid w:val="0FB16AD7"/>
    <w:rsid w:val="0FD01C45"/>
    <w:rsid w:val="10173A62"/>
    <w:rsid w:val="1066607C"/>
    <w:rsid w:val="107C07C0"/>
    <w:rsid w:val="10B77713"/>
    <w:rsid w:val="10E9463B"/>
    <w:rsid w:val="11303712"/>
    <w:rsid w:val="11474828"/>
    <w:rsid w:val="11513C54"/>
    <w:rsid w:val="11554B93"/>
    <w:rsid w:val="11971476"/>
    <w:rsid w:val="11A517EE"/>
    <w:rsid w:val="11A97843"/>
    <w:rsid w:val="11CD3E09"/>
    <w:rsid w:val="11D87750"/>
    <w:rsid w:val="11F02474"/>
    <w:rsid w:val="122977C6"/>
    <w:rsid w:val="1239333C"/>
    <w:rsid w:val="128E193C"/>
    <w:rsid w:val="129840A3"/>
    <w:rsid w:val="12CB2DC1"/>
    <w:rsid w:val="12ED6551"/>
    <w:rsid w:val="12EF36EC"/>
    <w:rsid w:val="12F8663B"/>
    <w:rsid w:val="13374226"/>
    <w:rsid w:val="133817E8"/>
    <w:rsid w:val="134229B6"/>
    <w:rsid w:val="135F039F"/>
    <w:rsid w:val="13A17726"/>
    <w:rsid w:val="13EA373B"/>
    <w:rsid w:val="13F41DC0"/>
    <w:rsid w:val="14053ECB"/>
    <w:rsid w:val="142F1DF0"/>
    <w:rsid w:val="14330927"/>
    <w:rsid w:val="14445E6B"/>
    <w:rsid w:val="14596AA7"/>
    <w:rsid w:val="146117E6"/>
    <w:rsid w:val="1472201E"/>
    <w:rsid w:val="14904759"/>
    <w:rsid w:val="14A05698"/>
    <w:rsid w:val="14C60522"/>
    <w:rsid w:val="14E51208"/>
    <w:rsid w:val="1503558F"/>
    <w:rsid w:val="150E3860"/>
    <w:rsid w:val="15160BA8"/>
    <w:rsid w:val="151802A5"/>
    <w:rsid w:val="1544038D"/>
    <w:rsid w:val="154A4B34"/>
    <w:rsid w:val="15532AE3"/>
    <w:rsid w:val="15A002DB"/>
    <w:rsid w:val="15A12FB3"/>
    <w:rsid w:val="15E837CB"/>
    <w:rsid w:val="163F2087"/>
    <w:rsid w:val="1682534D"/>
    <w:rsid w:val="16AB11E2"/>
    <w:rsid w:val="16B2118E"/>
    <w:rsid w:val="16C871F0"/>
    <w:rsid w:val="16CA7048"/>
    <w:rsid w:val="16E040E1"/>
    <w:rsid w:val="16E66F03"/>
    <w:rsid w:val="16E70F4D"/>
    <w:rsid w:val="16F254DC"/>
    <w:rsid w:val="170E568A"/>
    <w:rsid w:val="17485168"/>
    <w:rsid w:val="17684F20"/>
    <w:rsid w:val="179E1BD4"/>
    <w:rsid w:val="17B10126"/>
    <w:rsid w:val="17BF338A"/>
    <w:rsid w:val="17F521E0"/>
    <w:rsid w:val="189814E3"/>
    <w:rsid w:val="18A350A9"/>
    <w:rsid w:val="18A8679F"/>
    <w:rsid w:val="18CE3650"/>
    <w:rsid w:val="18F45A75"/>
    <w:rsid w:val="18FF49D2"/>
    <w:rsid w:val="19827111"/>
    <w:rsid w:val="198418A3"/>
    <w:rsid w:val="19847DF9"/>
    <w:rsid w:val="199367FA"/>
    <w:rsid w:val="19B5261E"/>
    <w:rsid w:val="19C178F6"/>
    <w:rsid w:val="19CF6414"/>
    <w:rsid w:val="1A013F1D"/>
    <w:rsid w:val="1A047694"/>
    <w:rsid w:val="1A19433A"/>
    <w:rsid w:val="1A2C1F4F"/>
    <w:rsid w:val="1A3B1C6E"/>
    <w:rsid w:val="1A415EF2"/>
    <w:rsid w:val="1A8B5DD7"/>
    <w:rsid w:val="1ABC3A17"/>
    <w:rsid w:val="1AD746D3"/>
    <w:rsid w:val="1ADF03EB"/>
    <w:rsid w:val="1AFB3E35"/>
    <w:rsid w:val="1B134821"/>
    <w:rsid w:val="1B4D4687"/>
    <w:rsid w:val="1B6F23D3"/>
    <w:rsid w:val="1BAB323F"/>
    <w:rsid w:val="1BB30EF8"/>
    <w:rsid w:val="1BC95280"/>
    <w:rsid w:val="1BCF54DB"/>
    <w:rsid w:val="1BEA5555"/>
    <w:rsid w:val="1BED6EAF"/>
    <w:rsid w:val="1C1F3AA1"/>
    <w:rsid w:val="1C65037C"/>
    <w:rsid w:val="1C93021A"/>
    <w:rsid w:val="1CB518E6"/>
    <w:rsid w:val="1CBC6080"/>
    <w:rsid w:val="1CBF00A2"/>
    <w:rsid w:val="1CC64B16"/>
    <w:rsid w:val="1D232DDA"/>
    <w:rsid w:val="1D4376A8"/>
    <w:rsid w:val="1D5F0A6C"/>
    <w:rsid w:val="1D691539"/>
    <w:rsid w:val="1D6A247D"/>
    <w:rsid w:val="1DC87430"/>
    <w:rsid w:val="1DE27EEC"/>
    <w:rsid w:val="1DEA06A2"/>
    <w:rsid w:val="1E1710CD"/>
    <w:rsid w:val="1E484A83"/>
    <w:rsid w:val="1E597614"/>
    <w:rsid w:val="1E5A6CD1"/>
    <w:rsid w:val="1E5D0AE0"/>
    <w:rsid w:val="1E7D61DE"/>
    <w:rsid w:val="1E881885"/>
    <w:rsid w:val="1EB966C2"/>
    <w:rsid w:val="1EDD2929"/>
    <w:rsid w:val="1F336D01"/>
    <w:rsid w:val="1F4357BA"/>
    <w:rsid w:val="1F4632FB"/>
    <w:rsid w:val="1F7628D8"/>
    <w:rsid w:val="1FA62F60"/>
    <w:rsid w:val="1FDEDF2C"/>
    <w:rsid w:val="200D3631"/>
    <w:rsid w:val="205759AF"/>
    <w:rsid w:val="206A1714"/>
    <w:rsid w:val="20D46470"/>
    <w:rsid w:val="20D56603"/>
    <w:rsid w:val="20D643F3"/>
    <w:rsid w:val="20F8258A"/>
    <w:rsid w:val="21082CBA"/>
    <w:rsid w:val="21136A09"/>
    <w:rsid w:val="216232CC"/>
    <w:rsid w:val="218376CB"/>
    <w:rsid w:val="21841FCA"/>
    <w:rsid w:val="21A2271C"/>
    <w:rsid w:val="21D07B42"/>
    <w:rsid w:val="21F50A58"/>
    <w:rsid w:val="21FD5C66"/>
    <w:rsid w:val="220E705C"/>
    <w:rsid w:val="223405E2"/>
    <w:rsid w:val="224C7599"/>
    <w:rsid w:val="226F549E"/>
    <w:rsid w:val="22967A24"/>
    <w:rsid w:val="22B13FFC"/>
    <w:rsid w:val="22F15DF9"/>
    <w:rsid w:val="230E5690"/>
    <w:rsid w:val="2314642D"/>
    <w:rsid w:val="232B501C"/>
    <w:rsid w:val="235071E4"/>
    <w:rsid w:val="235409C9"/>
    <w:rsid w:val="23BD00BD"/>
    <w:rsid w:val="23C07685"/>
    <w:rsid w:val="23D0790A"/>
    <w:rsid w:val="23D922F8"/>
    <w:rsid w:val="23E42466"/>
    <w:rsid w:val="24053392"/>
    <w:rsid w:val="24116D97"/>
    <w:rsid w:val="242336ED"/>
    <w:rsid w:val="244720C5"/>
    <w:rsid w:val="2473633D"/>
    <w:rsid w:val="249875CF"/>
    <w:rsid w:val="249A04B5"/>
    <w:rsid w:val="24B902C6"/>
    <w:rsid w:val="251C6D1D"/>
    <w:rsid w:val="253411DB"/>
    <w:rsid w:val="257C7111"/>
    <w:rsid w:val="258532C7"/>
    <w:rsid w:val="258A3016"/>
    <w:rsid w:val="25A41976"/>
    <w:rsid w:val="25A54A10"/>
    <w:rsid w:val="25B35200"/>
    <w:rsid w:val="25C07678"/>
    <w:rsid w:val="25C70831"/>
    <w:rsid w:val="25C746AB"/>
    <w:rsid w:val="25CA3E5D"/>
    <w:rsid w:val="25CC07BD"/>
    <w:rsid w:val="25F42167"/>
    <w:rsid w:val="26565E35"/>
    <w:rsid w:val="2665625B"/>
    <w:rsid w:val="26767331"/>
    <w:rsid w:val="268D613A"/>
    <w:rsid w:val="269C1A3F"/>
    <w:rsid w:val="269D1125"/>
    <w:rsid w:val="26AF7333"/>
    <w:rsid w:val="26DD5F63"/>
    <w:rsid w:val="26DF0FE6"/>
    <w:rsid w:val="26EE2144"/>
    <w:rsid w:val="274A6165"/>
    <w:rsid w:val="27625307"/>
    <w:rsid w:val="27733CF6"/>
    <w:rsid w:val="27742CD1"/>
    <w:rsid w:val="279B5277"/>
    <w:rsid w:val="27DA7401"/>
    <w:rsid w:val="27E918A8"/>
    <w:rsid w:val="27F90FF3"/>
    <w:rsid w:val="281516CE"/>
    <w:rsid w:val="282D7B43"/>
    <w:rsid w:val="283866C5"/>
    <w:rsid w:val="28543FBA"/>
    <w:rsid w:val="28954023"/>
    <w:rsid w:val="28F006B6"/>
    <w:rsid w:val="292E755D"/>
    <w:rsid w:val="295410CB"/>
    <w:rsid w:val="29685184"/>
    <w:rsid w:val="29AF415B"/>
    <w:rsid w:val="29C80DF2"/>
    <w:rsid w:val="29E36C2B"/>
    <w:rsid w:val="2A2B38E7"/>
    <w:rsid w:val="2A3C198D"/>
    <w:rsid w:val="2A520A1B"/>
    <w:rsid w:val="2AF145B4"/>
    <w:rsid w:val="2B4859BD"/>
    <w:rsid w:val="2B67780D"/>
    <w:rsid w:val="2B7218E8"/>
    <w:rsid w:val="2BA411BD"/>
    <w:rsid w:val="2BB04F36"/>
    <w:rsid w:val="2BDB71C2"/>
    <w:rsid w:val="2C0F3360"/>
    <w:rsid w:val="2C1232FC"/>
    <w:rsid w:val="2C306243"/>
    <w:rsid w:val="2C4D7315"/>
    <w:rsid w:val="2C64149A"/>
    <w:rsid w:val="2C654ED7"/>
    <w:rsid w:val="2C7A23DA"/>
    <w:rsid w:val="2C7A4700"/>
    <w:rsid w:val="2C960B2C"/>
    <w:rsid w:val="2C966F0E"/>
    <w:rsid w:val="2CC340EB"/>
    <w:rsid w:val="2CEC2AB0"/>
    <w:rsid w:val="2CF847CB"/>
    <w:rsid w:val="2D814EA3"/>
    <w:rsid w:val="2DA63C2B"/>
    <w:rsid w:val="2DCB0047"/>
    <w:rsid w:val="2DCC210C"/>
    <w:rsid w:val="2DCE0F06"/>
    <w:rsid w:val="2E497189"/>
    <w:rsid w:val="2E867C10"/>
    <w:rsid w:val="2EEC392D"/>
    <w:rsid w:val="2F48746C"/>
    <w:rsid w:val="2F496608"/>
    <w:rsid w:val="2F4B064F"/>
    <w:rsid w:val="2F6F5869"/>
    <w:rsid w:val="2FBD001F"/>
    <w:rsid w:val="300E0E1D"/>
    <w:rsid w:val="30591D5A"/>
    <w:rsid w:val="30673818"/>
    <w:rsid w:val="30CC012B"/>
    <w:rsid w:val="30E12169"/>
    <w:rsid w:val="30F11E35"/>
    <w:rsid w:val="30F515BA"/>
    <w:rsid w:val="30FC2D9A"/>
    <w:rsid w:val="31185F77"/>
    <w:rsid w:val="314231CE"/>
    <w:rsid w:val="31B37EE6"/>
    <w:rsid w:val="31E4280F"/>
    <w:rsid w:val="31FC46C8"/>
    <w:rsid w:val="321C063E"/>
    <w:rsid w:val="32263F0A"/>
    <w:rsid w:val="322D0794"/>
    <w:rsid w:val="32742153"/>
    <w:rsid w:val="328F65B4"/>
    <w:rsid w:val="32927369"/>
    <w:rsid w:val="32994760"/>
    <w:rsid w:val="32B44DE3"/>
    <w:rsid w:val="330277E8"/>
    <w:rsid w:val="334443F5"/>
    <w:rsid w:val="334C42B4"/>
    <w:rsid w:val="33531CDC"/>
    <w:rsid w:val="336F380F"/>
    <w:rsid w:val="33746275"/>
    <w:rsid w:val="33A57D04"/>
    <w:rsid w:val="33BB5F1C"/>
    <w:rsid w:val="341D5F3B"/>
    <w:rsid w:val="34365FCF"/>
    <w:rsid w:val="34666BDD"/>
    <w:rsid w:val="34720F5F"/>
    <w:rsid w:val="348B1F36"/>
    <w:rsid w:val="349A7E85"/>
    <w:rsid w:val="34B8116F"/>
    <w:rsid w:val="34C37F55"/>
    <w:rsid w:val="35002F3A"/>
    <w:rsid w:val="35154CB9"/>
    <w:rsid w:val="35A12F0F"/>
    <w:rsid w:val="35B1041B"/>
    <w:rsid w:val="35B30BE8"/>
    <w:rsid w:val="35D63CE2"/>
    <w:rsid w:val="35D957FF"/>
    <w:rsid w:val="35EB7536"/>
    <w:rsid w:val="360B1BAF"/>
    <w:rsid w:val="361730B0"/>
    <w:rsid w:val="369B217F"/>
    <w:rsid w:val="36AF459C"/>
    <w:rsid w:val="36B54531"/>
    <w:rsid w:val="36BA2577"/>
    <w:rsid w:val="36C31EDB"/>
    <w:rsid w:val="36D94025"/>
    <w:rsid w:val="36FF7F3D"/>
    <w:rsid w:val="375F0EEE"/>
    <w:rsid w:val="376872C0"/>
    <w:rsid w:val="37865C35"/>
    <w:rsid w:val="37A14F18"/>
    <w:rsid w:val="37A87B24"/>
    <w:rsid w:val="37AF4834"/>
    <w:rsid w:val="37B17782"/>
    <w:rsid w:val="37DE4531"/>
    <w:rsid w:val="37E90F31"/>
    <w:rsid w:val="37F7519A"/>
    <w:rsid w:val="37FC4D7A"/>
    <w:rsid w:val="380D5627"/>
    <w:rsid w:val="382401E2"/>
    <w:rsid w:val="384C137E"/>
    <w:rsid w:val="386B7473"/>
    <w:rsid w:val="3887543B"/>
    <w:rsid w:val="38AC0AD1"/>
    <w:rsid w:val="39175DFC"/>
    <w:rsid w:val="391A5E6C"/>
    <w:rsid w:val="391C62FD"/>
    <w:rsid w:val="399B2405"/>
    <w:rsid w:val="39BB5757"/>
    <w:rsid w:val="39CE019E"/>
    <w:rsid w:val="39F65492"/>
    <w:rsid w:val="3A483E18"/>
    <w:rsid w:val="3A5015B5"/>
    <w:rsid w:val="3A540F30"/>
    <w:rsid w:val="3A683A26"/>
    <w:rsid w:val="3A9A3A0F"/>
    <w:rsid w:val="3AA25627"/>
    <w:rsid w:val="3AC42B06"/>
    <w:rsid w:val="3AEE7002"/>
    <w:rsid w:val="3B016DC0"/>
    <w:rsid w:val="3B370D11"/>
    <w:rsid w:val="3B6C4143"/>
    <w:rsid w:val="3BA85786"/>
    <w:rsid w:val="3BBB28DC"/>
    <w:rsid w:val="3BC17D86"/>
    <w:rsid w:val="3C2B4211"/>
    <w:rsid w:val="3C3F6D27"/>
    <w:rsid w:val="3C712F0E"/>
    <w:rsid w:val="3CA5293B"/>
    <w:rsid w:val="3CBF4F7C"/>
    <w:rsid w:val="3CCF4FF0"/>
    <w:rsid w:val="3D0A5997"/>
    <w:rsid w:val="3D187E1E"/>
    <w:rsid w:val="3D194B99"/>
    <w:rsid w:val="3D2365CE"/>
    <w:rsid w:val="3D7C40B4"/>
    <w:rsid w:val="3DA04DCF"/>
    <w:rsid w:val="3DCD3390"/>
    <w:rsid w:val="3DD610DC"/>
    <w:rsid w:val="3DEB4BD2"/>
    <w:rsid w:val="3E084779"/>
    <w:rsid w:val="3E38373E"/>
    <w:rsid w:val="3E6E45FF"/>
    <w:rsid w:val="3EC22A9D"/>
    <w:rsid w:val="3EE20BD8"/>
    <w:rsid w:val="3EF02AD7"/>
    <w:rsid w:val="3F1944F8"/>
    <w:rsid w:val="3F940B9C"/>
    <w:rsid w:val="3F9C454E"/>
    <w:rsid w:val="3FA75FBD"/>
    <w:rsid w:val="3FEF25F3"/>
    <w:rsid w:val="3FF44AFC"/>
    <w:rsid w:val="404E0F87"/>
    <w:rsid w:val="408C3C3A"/>
    <w:rsid w:val="409D2E28"/>
    <w:rsid w:val="40A750F8"/>
    <w:rsid w:val="40B104D3"/>
    <w:rsid w:val="40BB4E37"/>
    <w:rsid w:val="417C44C9"/>
    <w:rsid w:val="419C7B89"/>
    <w:rsid w:val="41AE6B8B"/>
    <w:rsid w:val="41BE5F38"/>
    <w:rsid w:val="41F87C79"/>
    <w:rsid w:val="422308A8"/>
    <w:rsid w:val="422713F9"/>
    <w:rsid w:val="42333D80"/>
    <w:rsid w:val="42AE3855"/>
    <w:rsid w:val="42BE76F1"/>
    <w:rsid w:val="42E00CB1"/>
    <w:rsid w:val="430D4D09"/>
    <w:rsid w:val="431B29AA"/>
    <w:rsid w:val="431D71BB"/>
    <w:rsid w:val="435B37A4"/>
    <w:rsid w:val="436938F6"/>
    <w:rsid w:val="436C7020"/>
    <w:rsid w:val="439E236A"/>
    <w:rsid w:val="43A33035"/>
    <w:rsid w:val="43A71D57"/>
    <w:rsid w:val="43B30A33"/>
    <w:rsid w:val="44166F3B"/>
    <w:rsid w:val="44253050"/>
    <w:rsid w:val="443B4756"/>
    <w:rsid w:val="44845B03"/>
    <w:rsid w:val="44B008F7"/>
    <w:rsid w:val="44B4279A"/>
    <w:rsid w:val="44CA5882"/>
    <w:rsid w:val="44ED2D67"/>
    <w:rsid w:val="44F55229"/>
    <w:rsid w:val="44FC3172"/>
    <w:rsid w:val="450913C9"/>
    <w:rsid w:val="454C1047"/>
    <w:rsid w:val="45560197"/>
    <w:rsid w:val="457F03E4"/>
    <w:rsid w:val="45B20444"/>
    <w:rsid w:val="45CB4FA4"/>
    <w:rsid w:val="45E12C67"/>
    <w:rsid w:val="45E93C1A"/>
    <w:rsid w:val="460040CB"/>
    <w:rsid w:val="46135386"/>
    <w:rsid w:val="4620386B"/>
    <w:rsid w:val="462222D7"/>
    <w:rsid w:val="46625128"/>
    <w:rsid w:val="46874A42"/>
    <w:rsid w:val="46C30A18"/>
    <w:rsid w:val="46DA35FD"/>
    <w:rsid w:val="46DA55D0"/>
    <w:rsid w:val="46EC3A2B"/>
    <w:rsid w:val="475B147C"/>
    <w:rsid w:val="4788411F"/>
    <w:rsid w:val="478E06C3"/>
    <w:rsid w:val="479D74FB"/>
    <w:rsid w:val="47A122CC"/>
    <w:rsid w:val="47A8778E"/>
    <w:rsid w:val="47AA16CA"/>
    <w:rsid w:val="47CB46C8"/>
    <w:rsid w:val="47E76E90"/>
    <w:rsid w:val="47ED3E29"/>
    <w:rsid w:val="481506B6"/>
    <w:rsid w:val="4827197C"/>
    <w:rsid w:val="483571ED"/>
    <w:rsid w:val="48622140"/>
    <w:rsid w:val="487773B6"/>
    <w:rsid w:val="4878504C"/>
    <w:rsid w:val="48C8033A"/>
    <w:rsid w:val="48D82E25"/>
    <w:rsid w:val="48F173EE"/>
    <w:rsid w:val="490719A4"/>
    <w:rsid w:val="49755A69"/>
    <w:rsid w:val="4981336A"/>
    <w:rsid w:val="498F717E"/>
    <w:rsid w:val="499E3BD9"/>
    <w:rsid w:val="49B77A8C"/>
    <w:rsid w:val="49BF51FC"/>
    <w:rsid w:val="49F07F8C"/>
    <w:rsid w:val="49F43184"/>
    <w:rsid w:val="4A2C0D1A"/>
    <w:rsid w:val="4A3A5944"/>
    <w:rsid w:val="4A4C1CB4"/>
    <w:rsid w:val="4A4E0B2C"/>
    <w:rsid w:val="4A800E40"/>
    <w:rsid w:val="4A9A298A"/>
    <w:rsid w:val="4ADE7DD4"/>
    <w:rsid w:val="4AE031A1"/>
    <w:rsid w:val="4AE61C04"/>
    <w:rsid w:val="4B432931"/>
    <w:rsid w:val="4B8C373B"/>
    <w:rsid w:val="4BDC2420"/>
    <w:rsid w:val="4C0B5B08"/>
    <w:rsid w:val="4C20792F"/>
    <w:rsid w:val="4C263E9F"/>
    <w:rsid w:val="4C411097"/>
    <w:rsid w:val="4C581D0F"/>
    <w:rsid w:val="4C91441E"/>
    <w:rsid w:val="4C9A0A05"/>
    <w:rsid w:val="4CB420B9"/>
    <w:rsid w:val="4CC87E26"/>
    <w:rsid w:val="4CE13BD2"/>
    <w:rsid w:val="4CF578EA"/>
    <w:rsid w:val="4D5D3BE3"/>
    <w:rsid w:val="4DAE5383"/>
    <w:rsid w:val="4DB763A3"/>
    <w:rsid w:val="4DD5659B"/>
    <w:rsid w:val="4E286802"/>
    <w:rsid w:val="4E614469"/>
    <w:rsid w:val="4E7A299A"/>
    <w:rsid w:val="4EBA07A9"/>
    <w:rsid w:val="4EDF4182"/>
    <w:rsid w:val="4EE47EF1"/>
    <w:rsid w:val="4EE770C9"/>
    <w:rsid w:val="4F426A5E"/>
    <w:rsid w:val="4F6444A7"/>
    <w:rsid w:val="4F816ECE"/>
    <w:rsid w:val="4FA2274A"/>
    <w:rsid w:val="4FC859D8"/>
    <w:rsid w:val="4FCA63A2"/>
    <w:rsid w:val="4FD40713"/>
    <w:rsid w:val="4FDC1AB9"/>
    <w:rsid w:val="4FF016AF"/>
    <w:rsid w:val="501667C7"/>
    <w:rsid w:val="5057461C"/>
    <w:rsid w:val="505F17AF"/>
    <w:rsid w:val="507B554F"/>
    <w:rsid w:val="50BE3130"/>
    <w:rsid w:val="50D04674"/>
    <w:rsid w:val="50D121B9"/>
    <w:rsid w:val="50DE038E"/>
    <w:rsid w:val="50F8527A"/>
    <w:rsid w:val="5104586C"/>
    <w:rsid w:val="5117569D"/>
    <w:rsid w:val="51216ABB"/>
    <w:rsid w:val="51260AC6"/>
    <w:rsid w:val="513C3A21"/>
    <w:rsid w:val="513E2900"/>
    <w:rsid w:val="514E1364"/>
    <w:rsid w:val="517423AF"/>
    <w:rsid w:val="519160B2"/>
    <w:rsid w:val="51AC3FFB"/>
    <w:rsid w:val="522763FC"/>
    <w:rsid w:val="524021C8"/>
    <w:rsid w:val="524E4977"/>
    <w:rsid w:val="52791755"/>
    <w:rsid w:val="5289139E"/>
    <w:rsid w:val="52A36C5C"/>
    <w:rsid w:val="52C11DF0"/>
    <w:rsid w:val="52ED0DA6"/>
    <w:rsid w:val="5308673C"/>
    <w:rsid w:val="5323199E"/>
    <w:rsid w:val="535B787A"/>
    <w:rsid w:val="53706154"/>
    <w:rsid w:val="53827729"/>
    <w:rsid w:val="53C50F31"/>
    <w:rsid w:val="53E826BA"/>
    <w:rsid w:val="541A24B0"/>
    <w:rsid w:val="546A1B1F"/>
    <w:rsid w:val="547A4833"/>
    <w:rsid w:val="547B777C"/>
    <w:rsid w:val="548D1DB2"/>
    <w:rsid w:val="54B40E84"/>
    <w:rsid w:val="54BB01AB"/>
    <w:rsid w:val="551E3818"/>
    <w:rsid w:val="552D5C5A"/>
    <w:rsid w:val="55765077"/>
    <w:rsid w:val="558F4198"/>
    <w:rsid w:val="55BC256E"/>
    <w:rsid w:val="55C17749"/>
    <w:rsid w:val="55D0269D"/>
    <w:rsid w:val="55D4142F"/>
    <w:rsid w:val="55E55062"/>
    <w:rsid w:val="5624293C"/>
    <w:rsid w:val="563525A5"/>
    <w:rsid w:val="565B0A6E"/>
    <w:rsid w:val="566F6883"/>
    <w:rsid w:val="567C2922"/>
    <w:rsid w:val="568B5879"/>
    <w:rsid w:val="569A4D26"/>
    <w:rsid w:val="569A6E24"/>
    <w:rsid w:val="56CB2352"/>
    <w:rsid w:val="570A00F3"/>
    <w:rsid w:val="57701037"/>
    <w:rsid w:val="57942C2A"/>
    <w:rsid w:val="57B33022"/>
    <w:rsid w:val="57E73659"/>
    <w:rsid w:val="57EB3A86"/>
    <w:rsid w:val="58081A9E"/>
    <w:rsid w:val="582C4913"/>
    <w:rsid w:val="584F0CD3"/>
    <w:rsid w:val="585F4C30"/>
    <w:rsid w:val="58867F61"/>
    <w:rsid w:val="588F547B"/>
    <w:rsid w:val="58B546E1"/>
    <w:rsid w:val="58B8441A"/>
    <w:rsid w:val="58C56B43"/>
    <w:rsid w:val="591A6120"/>
    <w:rsid w:val="59692E31"/>
    <w:rsid w:val="59A130B6"/>
    <w:rsid w:val="59AA3CBF"/>
    <w:rsid w:val="59DC7E4F"/>
    <w:rsid w:val="5A14156C"/>
    <w:rsid w:val="5A1A1049"/>
    <w:rsid w:val="5A2262A9"/>
    <w:rsid w:val="5A2A4B7C"/>
    <w:rsid w:val="5A3353BD"/>
    <w:rsid w:val="5A51788E"/>
    <w:rsid w:val="5AB11D8C"/>
    <w:rsid w:val="5AB30F60"/>
    <w:rsid w:val="5ABF0334"/>
    <w:rsid w:val="5AE525EB"/>
    <w:rsid w:val="5AF20AE5"/>
    <w:rsid w:val="5AF626BE"/>
    <w:rsid w:val="5B045D88"/>
    <w:rsid w:val="5B146F1B"/>
    <w:rsid w:val="5B783050"/>
    <w:rsid w:val="5B7F5E66"/>
    <w:rsid w:val="5B8136BD"/>
    <w:rsid w:val="5BB4591F"/>
    <w:rsid w:val="5BB8229F"/>
    <w:rsid w:val="5BC64B81"/>
    <w:rsid w:val="5BC90FCD"/>
    <w:rsid w:val="5BFA0327"/>
    <w:rsid w:val="5C223912"/>
    <w:rsid w:val="5C570711"/>
    <w:rsid w:val="5C6D2570"/>
    <w:rsid w:val="5C726965"/>
    <w:rsid w:val="5C7912B3"/>
    <w:rsid w:val="5C8D0F9A"/>
    <w:rsid w:val="5CF816B2"/>
    <w:rsid w:val="5D4A2A49"/>
    <w:rsid w:val="5D530711"/>
    <w:rsid w:val="5D583A2C"/>
    <w:rsid w:val="5D586D01"/>
    <w:rsid w:val="5D765738"/>
    <w:rsid w:val="5DAF58C3"/>
    <w:rsid w:val="5DD5472C"/>
    <w:rsid w:val="5DF27B35"/>
    <w:rsid w:val="5E0545DD"/>
    <w:rsid w:val="5E210863"/>
    <w:rsid w:val="5E3B35C6"/>
    <w:rsid w:val="5E4709CC"/>
    <w:rsid w:val="5E487AA7"/>
    <w:rsid w:val="5E843EE8"/>
    <w:rsid w:val="5ED04118"/>
    <w:rsid w:val="5EDE6171"/>
    <w:rsid w:val="5EEB0834"/>
    <w:rsid w:val="5EEC51BD"/>
    <w:rsid w:val="5EFE1112"/>
    <w:rsid w:val="5F00428E"/>
    <w:rsid w:val="5F1D58F8"/>
    <w:rsid w:val="5F381205"/>
    <w:rsid w:val="5F683B10"/>
    <w:rsid w:val="5F721137"/>
    <w:rsid w:val="5F875907"/>
    <w:rsid w:val="5FB3697A"/>
    <w:rsid w:val="5FBD7117"/>
    <w:rsid w:val="600164CE"/>
    <w:rsid w:val="605C14E5"/>
    <w:rsid w:val="606B39A7"/>
    <w:rsid w:val="608B4BE8"/>
    <w:rsid w:val="60D829E6"/>
    <w:rsid w:val="60F0369E"/>
    <w:rsid w:val="60F078A8"/>
    <w:rsid w:val="611C092D"/>
    <w:rsid w:val="61634904"/>
    <w:rsid w:val="616F6A06"/>
    <w:rsid w:val="61BB42E4"/>
    <w:rsid w:val="61E039ED"/>
    <w:rsid w:val="61F96E7C"/>
    <w:rsid w:val="62034EFF"/>
    <w:rsid w:val="62171FE8"/>
    <w:rsid w:val="62296E5A"/>
    <w:rsid w:val="624352CF"/>
    <w:rsid w:val="62672D9C"/>
    <w:rsid w:val="62747BE1"/>
    <w:rsid w:val="628A07E9"/>
    <w:rsid w:val="62903E91"/>
    <w:rsid w:val="62B1317C"/>
    <w:rsid w:val="62B83785"/>
    <w:rsid w:val="62B92043"/>
    <w:rsid w:val="62BC3903"/>
    <w:rsid w:val="62C93970"/>
    <w:rsid w:val="62CD4137"/>
    <w:rsid w:val="62E3010F"/>
    <w:rsid w:val="631A633F"/>
    <w:rsid w:val="63656AB5"/>
    <w:rsid w:val="63750524"/>
    <w:rsid w:val="63767296"/>
    <w:rsid w:val="63772C84"/>
    <w:rsid w:val="637B5E75"/>
    <w:rsid w:val="63C30762"/>
    <w:rsid w:val="63EE46E3"/>
    <w:rsid w:val="64072A98"/>
    <w:rsid w:val="64140CC6"/>
    <w:rsid w:val="642A104B"/>
    <w:rsid w:val="644975F1"/>
    <w:rsid w:val="64707C2A"/>
    <w:rsid w:val="64AF5ECA"/>
    <w:rsid w:val="64C056DF"/>
    <w:rsid w:val="64C339CC"/>
    <w:rsid w:val="64DA3395"/>
    <w:rsid w:val="650A76FF"/>
    <w:rsid w:val="65124D37"/>
    <w:rsid w:val="659542A2"/>
    <w:rsid w:val="659E1DDD"/>
    <w:rsid w:val="65D54E20"/>
    <w:rsid w:val="65DC574E"/>
    <w:rsid w:val="65FA6C48"/>
    <w:rsid w:val="65FB0D04"/>
    <w:rsid w:val="660B0F02"/>
    <w:rsid w:val="6632423F"/>
    <w:rsid w:val="664E19C3"/>
    <w:rsid w:val="66586086"/>
    <w:rsid w:val="66740DE7"/>
    <w:rsid w:val="668B419C"/>
    <w:rsid w:val="66A51EDE"/>
    <w:rsid w:val="66B60865"/>
    <w:rsid w:val="66E95128"/>
    <w:rsid w:val="6709060A"/>
    <w:rsid w:val="67417BBE"/>
    <w:rsid w:val="679306D6"/>
    <w:rsid w:val="67AB720F"/>
    <w:rsid w:val="67C61CF1"/>
    <w:rsid w:val="67E53B5C"/>
    <w:rsid w:val="67F315F2"/>
    <w:rsid w:val="68193E35"/>
    <w:rsid w:val="688676BE"/>
    <w:rsid w:val="68BA740E"/>
    <w:rsid w:val="692A02E9"/>
    <w:rsid w:val="693D53E5"/>
    <w:rsid w:val="696A0DF8"/>
    <w:rsid w:val="696D2F27"/>
    <w:rsid w:val="69837C14"/>
    <w:rsid w:val="69892EC8"/>
    <w:rsid w:val="69A0751F"/>
    <w:rsid w:val="69B730D4"/>
    <w:rsid w:val="69DD04A9"/>
    <w:rsid w:val="69EF49CD"/>
    <w:rsid w:val="6A1D0AC7"/>
    <w:rsid w:val="6A472475"/>
    <w:rsid w:val="6A527E6A"/>
    <w:rsid w:val="6A6308DC"/>
    <w:rsid w:val="6A961298"/>
    <w:rsid w:val="6A9742AF"/>
    <w:rsid w:val="6A981300"/>
    <w:rsid w:val="6ABB6474"/>
    <w:rsid w:val="6ABC05BF"/>
    <w:rsid w:val="6ABE5609"/>
    <w:rsid w:val="6B027A1A"/>
    <w:rsid w:val="6B0839EB"/>
    <w:rsid w:val="6B117B84"/>
    <w:rsid w:val="6B1B3A66"/>
    <w:rsid w:val="6B38126D"/>
    <w:rsid w:val="6B406974"/>
    <w:rsid w:val="6B620F28"/>
    <w:rsid w:val="6B63111B"/>
    <w:rsid w:val="6BE94B49"/>
    <w:rsid w:val="6BF302A9"/>
    <w:rsid w:val="6C2749F6"/>
    <w:rsid w:val="6C4D5259"/>
    <w:rsid w:val="6C7155FD"/>
    <w:rsid w:val="6C883180"/>
    <w:rsid w:val="6CA51091"/>
    <w:rsid w:val="6CCC4FAC"/>
    <w:rsid w:val="6CF208A5"/>
    <w:rsid w:val="6D0F089B"/>
    <w:rsid w:val="6D27534D"/>
    <w:rsid w:val="6DA86592"/>
    <w:rsid w:val="6DEC4B0F"/>
    <w:rsid w:val="6DF2100E"/>
    <w:rsid w:val="6E177FCC"/>
    <w:rsid w:val="6E251A16"/>
    <w:rsid w:val="6E255A1B"/>
    <w:rsid w:val="6E3A7559"/>
    <w:rsid w:val="6E6531E6"/>
    <w:rsid w:val="6E6D19B0"/>
    <w:rsid w:val="6EBB34AB"/>
    <w:rsid w:val="6EC163DE"/>
    <w:rsid w:val="6ECE60AC"/>
    <w:rsid w:val="6F0505E2"/>
    <w:rsid w:val="6F215025"/>
    <w:rsid w:val="6F251968"/>
    <w:rsid w:val="6F535D41"/>
    <w:rsid w:val="6F5E4AA8"/>
    <w:rsid w:val="6F6E487C"/>
    <w:rsid w:val="6F9445EB"/>
    <w:rsid w:val="6FC12906"/>
    <w:rsid w:val="6FD40F45"/>
    <w:rsid w:val="6FD9772F"/>
    <w:rsid w:val="70181C7A"/>
    <w:rsid w:val="70560419"/>
    <w:rsid w:val="70762BF5"/>
    <w:rsid w:val="709C4442"/>
    <w:rsid w:val="709E398B"/>
    <w:rsid w:val="709F63B2"/>
    <w:rsid w:val="70DF1F6E"/>
    <w:rsid w:val="713669DA"/>
    <w:rsid w:val="7146771E"/>
    <w:rsid w:val="71572C32"/>
    <w:rsid w:val="71650ED4"/>
    <w:rsid w:val="71E241EA"/>
    <w:rsid w:val="71E349AE"/>
    <w:rsid w:val="71E71916"/>
    <w:rsid w:val="71E82C45"/>
    <w:rsid w:val="71E8769A"/>
    <w:rsid w:val="721940CD"/>
    <w:rsid w:val="7220599C"/>
    <w:rsid w:val="728F516D"/>
    <w:rsid w:val="729679C5"/>
    <w:rsid w:val="72AD43FC"/>
    <w:rsid w:val="72C85BEF"/>
    <w:rsid w:val="72CE7FDC"/>
    <w:rsid w:val="72EB51E0"/>
    <w:rsid w:val="72F27CE5"/>
    <w:rsid w:val="73056126"/>
    <w:rsid w:val="734441D2"/>
    <w:rsid w:val="737265B2"/>
    <w:rsid w:val="738D5284"/>
    <w:rsid w:val="73C026E9"/>
    <w:rsid w:val="745C2416"/>
    <w:rsid w:val="74675564"/>
    <w:rsid w:val="746C37A2"/>
    <w:rsid w:val="749A477F"/>
    <w:rsid w:val="74D32427"/>
    <w:rsid w:val="74E51251"/>
    <w:rsid w:val="74F67A11"/>
    <w:rsid w:val="75220E9D"/>
    <w:rsid w:val="752A2AF4"/>
    <w:rsid w:val="75394523"/>
    <w:rsid w:val="7543793E"/>
    <w:rsid w:val="754A3218"/>
    <w:rsid w:val="754E5916"/>
    <w:rsid w:val="75655909"/>
    <w:rsid w:val="75664F84"/>
    <w:rsid w:val="75684B03"/>
    <w:rsid w:val="757C5714"/>
    <w:rsid w:val="758C7272"/>
    <w:rsid w:val="75901AC8"/>
    <w:rsid w:val="759B6D06"/>
    <w:rsid w:val="759F4860"/>
    <w:rsid w:val="75F06CC0"/>
    <w:rsid w:val="761264AF"/>
    <w:rsid w:val="76DB13D2"/>
    <w:rsid w:val="76E35B6C"/>
    <w:rsid w:val="77030EBC"/>
    <w:rsid w:val="77507D6D"/>
    <w:rsid w:val="77693FA8"/>
    <w:rsid w:val="778A5C8D"/>
    <w:rsid w:val="77C328B2"/>
    <w:rsid w:val="77E67C1B"/>
    <w:rsid w:val="782363F5"/>
    <w:rsid w:val="786A29C5"/>
    <w:rsid w:val="787413BC"/>
    <w:rsid w:val="787C2B9C"/>
    <w:rsid w:val="78E81D6C"/>
    <w:rsid w:val="78EA1883"/>
    <w:rsid w:val="78F63964"/>
    <w:rsid w:val="78FD5A1A"/>
    <w:rsid w:val="792D3908"/>
    <w:rsid w:val="793A5E66"/>
    <w:rsid w:val="794C58E5"/>
    <w:rsid w:val="79574027"/>
    <w:rsid w:val="79A7605C"/>
    <w:rsid w:val="7A07729E"/>
    <w:rsid w:val="7A14205F"/>
    <w:rsid w:val="7A21261D"/>
    <w:rsid w:val="7A2A4802"/>
    <w:rsid w:val="7A2D66D4"/>
    <w:rsid w:val="7A365353"/>
    <w:rsid w:val="7AE723A3"/>
    <w:rsid w:val="7AEB594A"/>
    <w:rsid w:val="7B076660"/>
    <w:rsid w:val="7B3627D7"/>
    <w:rsid w:val="7B3A30AA"/>
    <w:rsid w:val="7B54732A"/>
    <w:rsid w:val="7BCA0D17"/>
    <w:rsid w:val="7C093700"/>
    <w:rsid w:val="7C421FB7"/>
    <w:rsid w:val="7C7E6ECA"/>
    <w:rsid w:val="7C7F06F8"/>
    <w:rsid w:val="7C87255B"/>
    <w:rsid w:val="7C8B57E3"/>
    <w:rsid w:val="7C8F7FFE"/>
    <w:rsid w:val="7CB122F4"/>
    <w:rsid w:val="7CB12865"/>
    <w:rsid w:val="7CDC39E6"/>
    <w:rsid w:val="7D05667C"/>
    <w:rsid w:val="7D1A31C4"/>
    <w:rsid w:val="7D5C1BC1"/>
    <w:rsid w:val="7D935A49"/>
    <w:rsid w:val="7D976AB9"/>
    <w:rsid w:val="7E114BF7"/>
    <w:rsid w:val="7E6E6D1E"/>
    <w:rsid w:val="7E7B1FA3"/>
    <w:rsid w:val="7EDF0ABA"/>
    <w:rsid w:val="7F004773"/>
    <w:rsid w:val="7F01282C"/>
    <w:rsid w:val="7F213688"/>
    <w:rsid w:val="7F5B6791"/>
    <w:rsid w:val="7F7B5879"/>
    <w:rsid w:val="7F954D73"/>
    <w:rsid w:val="7F976E3D"/>
    <w:rsid w:val="7FA53482"/>
    <w:rsid w:val="7FC24798"/>
    <w:rsid w:val="7FF610C5"/>
    <w:rsid w:val="DF6B181A"/>
    <w:rsid w:val="EDDFD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link w:val="45"/>
    <w:qFormat/>
    <w:uiPriority w:val="9"/>
    <w:pPr>
      <w:keepNext/>
      <w:keepLines/>
      <w:numPr>
        <w:ilvl w:val="0"/>
        <w:numId w:val="1"/>
      </w:numPr>
      <w:spacing w:line="574" w:lineRule="exact"/>
      <w:ind w:firstLine="200" w:firstLineChars="200"/>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49"/>
    <w:qFormat/>
    <w:uiPriority w:val="99"/>
    <w:pPr>
      <w:keepNext/>
      <w:keepLines/>
      <w:numPr>
        <w:ilvl w:val="1"/>
        <w:numId w:val="1"/>
      </w:numPr>
      <w:spacing w:before="260" w:after="260" w:line="416" w:lineRule="auto"/>
      <w:outlineLvl w:val="1"/>
    </w:pPr>
    <w:rPr>
      <w:rFonts w:ascii="Cambria" w:hAnsi="Cambria"/>
      <w:b/>
      <w:bCs/>
      <w:kern w:val="0"/>
      <w:sz w:val="32"/>
      <w:szCs w:val="32"/>
    </w:rPr>
  </w:style>
  <w:style w:type="paragraph" w:styleId="5">
    <w:name w:val="heading 3"/>
    <w:basedOn w:val="1"/>
    <w:next w:val="1"/>
    <w:link w:val="50"/>
    <w:semiHidden/>
    <w:unhideWhenUsed/>
    <w:qFormat/>
    <w:uiPriority w:val="9"/>
    <w:pPr>
      <w:keepNext/>
      <w:keepLines/>
      <w:numPr>
        <w:ilvl w:val="2"/>
        <w:numId w:val="1"/>
      </w:numPr>
      <w:spacing w:line="413" w:lineRule="auto"/>
      <w:outlineLvl w:val="2"/>
    </w:pPr>
    <w:rPr>
      <w:b/>
      <w:sz w:val="32"/>
    </w:rPr>
  </w:style>
  <w:style w:type="paragraph" w:styleId="6">
    <w:name w:val="heading 4"/>
    <w:basedOn w:val="1"/>
    <w:next w:val="1"/>
    <w:link w:val="5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link w:val="52"/>
    <w:semiHidden/>
    <w:unhideWhenUsed/>
    <w:qFormat/>
    <w:uiPriority w:val="9"/>
    <w:pPr>
      <w:keepNext/>
      <w:keepLines/>
      <w:numPr>
        <w:ilvl w:val="4"/>
        <w:numId w:val="1"/>
      </w:numPr>
      <w:spacing w:line="372" w:lineRule="auto"/>
      <w:outlineLvl w:val="4"/>
    </w:pPr>
    <w:rPr>
      <w:b/>
      <w:sz w:val="28"/>
    </w:rPr>
  </w:style>
  <w:style w:type="paragraph" w:styleId="8">
    <w:name w:val="heading 6"/>
    <w:basedOn w:val="1"/>
    <w:next w:val="1"/>
    <w:link w:val="53"/>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link w:val="54"/>
    <w:semiHidden/>
    <w:unhideWhenUsed/>
    <w:qFormat/>
    <w:uiPriority w:val="9"/>
    <w:pPr>
      <w:keepNext/>
      <w:keepLines/>
      <w:numPr>
        <w:ilvl w:val="6"/>
        <w:numId w:val="1"/>
      </w:numPr>
      <w:spacing w:line="317" w:lineRule="auto"/>
      <w:outlineLvl w:val="6"/>
    </w:pPr>
    <w:rPr>
      <w:b/>
      <w:sz w:val="24"/>
    </w:rPr>
  </w:style>
  <w:style w:type="paragraph" w:styleId="10">
    <w:name w:val="heading 8"/>
    <w:basedOn w:val="1"/>
    <w:next w:val="1"/>
    <w:link w:val="55"/>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1">
    <w:name w:val="heading 9"/>
    <w:basedOn w:val="1"/>
    <w:next w:val="1"/>
    <w:link w:val="56"/>
    <w:semiHidden/>
    <w:unhideWhenUsed/>
    <w:qFormat/>
    <w:uiPriority w:val="9"/>
    <w:pPr>
      <w:keepNext/>
      <w:keepLines/>
      <w:spacing w:line="317"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12">
    <w:name w:val="table of authorities"/>
    <w:basedOn w:val="1"/>
    <w:next w:val="1"/>
    <w:qFormat/>
    <w:uiPriority w:val="0"/>
    <w:pPr>
      <w:ind w:left="420" w:leftChars="200"/>
    </w:pPr>
    <w:rPr>
      <w:rFonts w:hint="eastAsia"/>
    </w:rPr>
  </w:style>
  <w:style w:type="paragraph" w:styleId="13">
    <w:name w:val="Document Map"/>
    <w:basedOn w:val="1"/>
    <w:link w:val="60"/>
    <w:semiHidden/>
    <w:unhideWhenUsed/>
    <w:qFormat/>
    <w:uiPriority w:val="99"/>
    <w:rPr>
      <w:rFonts w:ascii="宋体"/>
      <w:sz w:val="18"/>
      <w:szCs w:val="18"/>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57"/>
    <w:unhideWhenUsed/>
    <w:qFormat/>
    <w:uiPriority w:val="99"/>
    <w:pPr>
      <w:jc w:val="left"/>
    </w:pPr>
  </w:style>
  <w:style w:type="paragraph" w:styleId="16">
    <w:name w:val="Body Text"/>
    <w:basedOn w:val="1"/>
    <w:next w:val="1"/>
    <w:unhideWhenUsed/>
    <w:qFormat/>
    <w:uiPriority w:val="0"/>
    <w:pPr>
      <w:spacing w:after="120"/>
    </w:pPr>
  </w:style>
  <w:style w:type="paragraph" w:styleId="17">
    <w:name w:val="Body Text Indent"/>
    <w:basedOn w:val="1"/>
    <w:unhideWhenUsed/>
    <w:qFormat/>
    <w:uiPriority w:val="99"/>
    <w:pPr>
      <w:spacing w:after="120"/>
      <w:ind w:left="420" w:leftChars="200"/>
    </w:pPr>
  </w:style>
  <w:style w:type="paragraph" w:styleId="18">
    <w:name w:val="toc 5"/>
    <w:basedOn w:val="1"/>
    <w:next w:val="1"/>
    <w:semiHidden/>
    <w:unhideWhenUsed/>
    <w:qFormat/>
    <w:uiPriority w:val="39"/>
    <w:pPr>
      <w:ind w:left="1680" w:leftChars="800"/>
    </w:pPr>
  </w:style>
  <w:style w:type="paragraph" w:styleId="19">
    <w:name w:val="Plain Text"/>
    <w:basedOn w:val="1"/>
    <w:link w:val="61"/>
    <w:qFormat/>
    <w:uiPriority w:val="99"/>
    <w:rPr>
      <w:rFonts w:ascii="宋体" w:hAnsi="Courier New"/>
      <w:kern w:val="0"/>
      <w:sz w:val="20"/>
      <w:szCs w:val="21"/>
    </w:rPr>
  </w:style>
  <w:style w:type="paragraph" w:styleId="20">
    <w:name w:val="Date"/>
    <w:basedOn w:val="1"/>
    <w:next w:val="1"/>
    <w:link w:val="75"/>
    <w:semiHidden/>
    <w:unhideWhenUsed/>
    <w:qFormat/>
    <w:uiPriority w:val="99"/>
    <w:pPr>
      <w:ind w:left="100" w:leftChars="2500"/>
    </w:pPr>
  </w:style>
  <w:style w:type="paragraph" w:styleId="21">
    <w:name w:val="endnote text"/>
    <w:basedOn w:val="1"/>
    <w:semiHidden/>
    <w:unhideWhenUsed/>
    <w:qFormat/>
    <w:uiPriority w:val="99"/>
    <w:pPr>
      <w:snapToGrid w:val="0"/>
      <w:jc w:val="left"/>
    </w:pPr>
  </w:style>
  <w:style w:type="paragraph" w:styleId="22">
    <w:name w:val="Balloon Text"/>
    <w:basedOn w:val="1"/>
    <w:link w:val="64"/>
    <w:semiHidden/>
    <w:unhideWhenUsed/>
    <w:qFormat/>
    <w:uiPriority w:val="99"/>
    <w:rPr>
      <w:kern w:val="0"/>
      <w:sz w:val="18"/>
      <w:szCs w:val="18"/>
    </w:rPr>
  </w:style>
  <w:style w:type="paragraph" w:styleId="23">
    <w:name w:val="footer"/>
    <w:basedOn w:val="1"/>
    <w:link w:val="5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4">
    <w:name w:val="header"/>
    <w:basedOn w:val="1"/>
    <w:link w:val="5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5">
    <w:name w:val="toc 1"/>
    <w:basedOn w:val="1"/>
    <w:next w:val="1"/>
    <w:unhideWhenUsed/>
    <w:qFormat/>
    <w:uiPriority w:val="39"/>
  </w:style>
  <w:style w:type="paragraph" w:styleId="26">
    <w:name w:val="footnote text"/>
    <w:basedOn w:val="1"/>
    <w:link w:val="69"/>
    <w:semiHidden/>
    <w:unhideWhenUsed/>
    <w:qFormat/>
    <w:uiPriority w:val="99"/>
    <w:pPr>
      <w:snapToGrid w:val="0"/>
      <w:jc w:val="left"/>
    </w:pPr>
    <w:rPr>
      <w:sz w:val="18"/>
      <w:szCs w:val="18"/>
    </w:rPr>
  </w:style>
  <w:style w:type="paragraph" w:styleId="27">
    <w:name w:val="toc 2"/>
    <w:basedOn w:val="1"/>
    <w:next w:val="1"/>
    <w:unhideWhenUsed/>
    <w:qFormat/>
    <w:uiPriority w:val="39"/>
    <w:pPr>
      <w:ind w:left="420" w:leftChars="200"/>
    </w:pPr>
  </w:style>
  <w:style w:type="paragraph" w:styleId="28">
    <w:name w:val="HTML Preformatted"/>
    <w:basedOn w:val="1"/>
    <w:link w:val="6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next w:val="1"/>
    <w:qFormat/>
    <w:uiPriority w:val="99"/>
    <w:pPr>
      <w:jc w:val="left"/>
    </w:pPr>
    <w:rPr>
      <w:kern w:val="0"/>
      <w:sz w:val="24"/>
      <w:szCs w:val="22"/>
    </w:rPr>
  </w:style>
  <w:style w:type="paragraph" w:styleId="30">
    <w:name w:val="Title"/>
    <w:basedOn w:val="1"/>
    <w:next w:val="1"/>
    <w:link w:val="68"/>
    <w:qFormat/>
    <w:uiPriority w:val="0"/>
    <w:pPr>
      <w:spacing w:line="360" w:lineRule="auto"/>
      <w:outlineLvl w:val="0"/>
    </w:pPr>
    <w:rPr>
      <w:rFonts w:ascii="Times New Roman" w:hAnsi="Times New Roman" w:eastAsia="黑体"/>
      <w:bCs/>
      <w:kern w:val="0"/>
      <w:sz w:val="32"/>
      <w:szCs w:val="32"/>
    </w:rPr>
  </w:style>
  <w:style w:type="paragraph" w:styleId="31">
    <w:name w:val="annotation subject"/>
    <w:basedOn w:val="15"/>
    <w:next w:val="15"/>
    <w:link w:val="63"/>
    <w:semiHidden/>
    <w:unhideWhenUsed/>
    <w:qFormat/>
    <w:uiPriority w:val="0"/>
  </w:style>
  <w:style w:type="paragraph" w:styleId="32">
    <w:name w:val="Body Text First Indent 2"/>
    <w:basedOn w:val="17"/>
    <w:unhideWhenUsed/>
    <w:qFormat/>
    <w:uiPriority w:val="99"/>
    <w:pPr>
      <w:ind w:firstLine="420" w:firstLineChars="200"/>
    </w:p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endnote reference"/>
    <w:basedOn w:val="35"/>
    <w:semiHidden/>
    <w:unhideWhenUsed/>
    <w:qFormat/>
    <w:uiPriority w:val="99"/>
    <w:rPr>
      <w:vertAlign w:val="superscript"/>
    </w:rPr>
  </w:style>
  <w:style w:type="character" w:styleId="38">
    <w:name w:val="Hyperlink"/>
    <w:basedOn w:val="35"/>
    <w:unhideWhenUsed/>
    <w:qFormat/>
    <w:uiPriority w:val="99"/>
    <w:rPr>
      <w:color w:val="0000FF" w:themeColor="hyperlink"/>
      <w:u w:val="single"/>
      <w14:textFill>
        <w14:solidFill>
          <w14:schemeClr w14:val="hlink"/>
        </w14:solidFill>
      </w14:textFill>
    </w:rPr>
  </w:style>
  <w:style w:type="character" w:styleId="39">
    <w:name w:val="annotation reference"/>
    <w:basedOn w:val="35"/>
    <w:semiHidden/>
    <w:unhideWhenUsed/>
    <w:qFormat/>
    <w:uiPriority w:val="99"/>
    <w:rPr>
      <w:sz w:val="21"/>
      <w:szCs w:val="21"/>
    </w:rPr>
  </w:style>
  <w:style w:type="character" w:styleId="40">
    <w:name w:val="footnote reference"/>
    <w:basedOn w:val="35"/>
    <w:semiHidden/>
    <w:unhideWhenUsed/>
    <w:qFormat/>
    <w:uiPriority w:val="99"/>
    <w:rPr>
      <w:vertAlign w:val="superscript"/>
    </w:rPr>
  </w:style>
  <w:style w:type="paragraph" w:customStyle="1" w:styleId="41">
    <w:name w:val="正文缩进1"/>
    <w:basedOn w:val="1"/>
    <w:qFormat/>
    <w:uiPriority w:val="0"/>
    <w:pPr>
      <w:ind w:firstLine="420" w:firstLineChars="200"/>
    </w:pPr>
    <w:rPr>
      <w:rFonts w:ascii="Calibri" w:hAnsi="Calibri"/>
    </w:rPr>
  </w:style>
  <w:style w:type="paragraph" w:customStyle="1" w:styleId="42">
    <w:name w:val="正文首行缩进 21"/>
    <w:basedOn w:val="43"/>
    <w:next w:val="29"/>
    <w:qFormat/>
    <w:uiPriority w:val="99"/>
    <w:pPr>
      <w:ind w:firstLine="200" w:firstLineChars="200"/>
    </w:pPr>
  </w:style>
  <w:style w:type="paragraph" w:customStyle="1" w:styleId="43">
    <w:name w:val="正文文本缩进1"/>
    <w:basedOn w:val="1"/>
    <w:qFormat/>
    <w:uiPriority w:val="99"/>
    <w:pPr>
      <w:ind w:left="200" w:leftChars="200"/>
    </w:pPr>
  </w:style>
  <w:style w:type="paragraph" w:customStyle="1" w:styleId="44">
    <w:name w:val="TOC 标题1"/>
    <w:basedOn w:val="3"/>
    <w:next w:val="1"/>
    <w:unhideWhenUsed/>
    <w:qFormat/>
    <w:uiPriority w:val="39"/>
    <w:pPr>
      <w:numPr>
        <w:numId w:val="0"/>
      </w:numPr>
      <w:spacing w:before="240" w:line="259" w:lineRule="auto"/>
      <w:outlineLvl w:val="9"/>
    </w:pPr>
    <w:rPr>
      <w:rFonts w:asciiTheme="majorHAnsi" w:hAnsiTheme="majorHAnsi" w:eastAsiaTheme="majorEastAsia" w:cstheme="majorBidi"/>
      <w:b/>
      <w:bCs w:val="0"/>
      <w:color w:val="376092" w:themeColor="accent1" w:themeShade="BF"/>
      <w:kern w:val="0"/>
      <w:szCs w:val="32"/>
    </w:rPr>
  </w:style>
  <w:style w:type="character" w:customStyle="1" w:styleId="45">
    <w:name w:val="标题 1 字符"/>
    <w:basedOn w:val="35"/>
    <w:link w:val="3"/>
    <w:qFormat/>
    <w:uiPriority w:val="9"/>
    <w:rPr>
      <w:rFonts w:ascii="Calibri" w:hAnsi="Calibri" w:eastAsia="黑体"/>
      <w:bCs/>
      <w:kern w:val="44"/>
      <w:sz w:val="32"/>
      <w:szCs w:val="44"/>
    </w:rPr>
  </w:style>
  <w:style w:type="paragraph" w:customStyle="1" w:styleId="46">
    <w:name w:val="闻政正文"/>
    <w:basedOn w:val="1"/>
    <w:link w:val="78"/>
    <w:qFormat/>
    <w:uiPriority w:val="0"/>
    <w:pPr>
      <w:spacing w:line="500" w:lineRule="exact"/>
      <w:ind w:firstLine="560" w:firstLineChars="200"/>
    </w:pPr>
    <w:rPr>
      <w:rFonts w:eastAsia="仿宋_GB2312"/>
      <w:kern w:val="0"/>
      <w:sz w:val="28"/>
      <w:szCs w:val="28"/>
    </w:rPr>
  </w:style>
  <w:style w:type="character" w:customStyle="1" w:styleId="47">
    <w:name w:val="font01"/>
    <w:basedOn w:val="35"/>
    <w:qFormat/>
    <w:uiPriority w:val="0"/>
    <w:rPr>
      <w:rFonts w:hint="eastAsia" w:ascii="宋体" w:hAnsi="宋体" w:eastAsia="宋体" w:cs="宋体"/>
      <w:color w:val="000000"/>
      <w:sz w:val="20"/>
      <w:szCs w:val="20"/>
      <w:u w:val="none"/>
    </w:rPr>
  </w:style>
  <w:style w:type="character" w:customStyle="1" w:styleId="48">
    <w:name w:val="font11"/>
    <w:basedOn w:val="35"/>
    <w:qFormat/>
    <w:uiPriority w:val="0"/>
    <w:rPr>
      <w:rFonts w:hint="eastAsia" w:ascii="宋体" w:hAnsi="宋体" w:eastAsia="宋体" w:cs="宋体"/>
      <w:color w:val="000000"/>
      <w:sz w:val="20"/>
      <w:szCs w:val="20"/>
      <w:u w:val="none"/>
    </w:rPr>
  </w:style>
  <w:style w:type="character" w:customStyle="1" w:styleId="49">
    <w:name w:val="标题 2 字符"/>
    <w:basedOn w:val="35"/>
    <w:link w:val="4"/>
    <w:qFormat/>
    <w:uiPriority w:val="99"/>
    <w:rPr>
      <w:rFonts w:ascii="Cambria" w:hAnsi="Cambria"/>
      <w:b/>
      <w:bCs/>
      <w:sz w:val="32"/>
      <w:szCs w:val="32"/>
    </w:rPr>
  </w:style>
  <w:style w:type="character" w:customStyle="1" w:styleId="50">
    <w:name w:val="标题 3 字符"/>
    <w:basedOn w:val="35"/>
    <w:link w:val="5"/>
    <w:semiHidden/>
    <w:qFormat/>
    <w:uiPriority w:val="9"/>
    <w:rPr>
      <w:rFonts w:ascii="Calibri" w:hAnsi="Calibri"/>
      <w:b/>
      <w:kern w:val="2"/>
      <w:sz w:val="32"/>
      <w:szCs w:val="24"/>
    </w:rPr>
  </w:style>
  <w:style w:type="character" w:customStyle="1" w:styleId="51">
    <w:name w:val="标题 4 字符"/>
    <w:basedOn w:val="35"/>
    <w:link w:val="6"/>
    <w:semiHidden/>
    <w:qFormat/>
    <w:uiPriority w:val="9"/>
    <w:rPr>
      <w:rFonts w:ascii="Arial" w:hAnsi="Arial" w:eastAsia="黑体"/>
      <w:b/>
      <w:kern w:val="2"/>
      <w:sz w:val="28"/>
      <w:szCs w:val="24"/>
    </w:rPr>
  </w:style>
  <w:style w:type="character" w:customStyle="1" w:styleId="52">
    <w:name w:val="标题 5 字符"/>
    <w:basedOn w:val="35"/>
    <w:link w:val="7"/>
    <w:semiHidden/>
    <w:qFormat/>
    <w:uiPriority w:val="9"/>
    <w:rPr>
      <w:rFonts w:ascii="Calibri" w:hAnsi="Calibri"/>
      <w:b/>
      <w:kern w:val="2"/>
      <w:sz w:val="28"/>
      <w:szCs w:val="24"/>
    </w:rPr>
  </w:style>
  <w:style w:type="character" w:customStyle="1" w:styleId="53">
    <w:name w:val="标题 6 字符"/>
    <w:basedOn w:val="35"/>
    <w:link w:val="8"/>
    <w:semiHidden/>
    <w:qFormat/>
    <w:uiPriority w:val="9"/>
    <w:rPr>
      <w:rFonts w:ascii="Arial" w:hAnsi="Arial" w:eastAsia="黑体"/>
      <w:b/>
      <w:kern w:val="2"/>
      <w:sz w:val="24"/>
      <w:szCs w:val="24"/>
    </w:rPr>
  </w:style>
  <w:style w:type="character" w:customStyle="1" w:styleId="54">
    <w:name w:val="标题 7 字符"/>
    <w:basedOn w:val="35"/>
    <w:link w:val="9"/>
    <w:semiHidden/>
    <w:qFormat/>
    <w:uiPriority w:val="9"/>
    <w:rPr>
      <w:rFonts w:ascii="Calibri" w:hAnsi="Calibri"/>
      <w:b/>
      <w:kern w:val="2"/>
      <w:sz w:val="24"/>
      <w:szCs w:val="24"/>
    </w:rPr>
  </w:style>
  <w:style w:type="character" w:customStyle="1" w:styleId="55">
    <w:name w:val="标题 8 字符"/>
    <w:basedOn w:val="35"/>
    <w:link w:val="10"/>
    <w:semiHidden/>
    <w:qFormat/>
    <w:uiPriority w:val="9"/>
    <w:rPr>
      <w:rFonts w:ascii="Arial" w:hAnsi="Arial" w:eastAsia="黑体"/>
      <w:kern w:val="2"/>
      <w:sz w:val="24"/>
      <w:szCs w:val="24"/>
    </w:rPr>
  </w:style>
  <w:style w:type="character" w:customStyle="1" w:styleId="56">
    <w:name w:val="标题 9 字符"/>
    <w:basedOn w:val="35"/>
    <w:link w:val="11"/>
    <w:semiHidden/>
    <w:qFormat/>
    <w:uiPriority w:val="9"/>
    <w:rPr>
      <w:rFonts w:ascii="Arial" w:hAnsi="Arial" w:eastAsia="黑体"/>
      <w:kern w:val="2"/>
      <w:sz w:val="21"/>
      <w:szCs w:val="24"/>
    </w:rPr>
  </w:style>
  <w:style w:type="character" w:customStyle="1" w:styleId="57">
    <w:name w:val="批注文字 字符"/>
    <w:basedOn w:val="35"/>
    <w:link w:val="15"/>
    <w:qFormat/>
    <w:uiPriority w:val="99"/>
    <w:rPr>
      <w:rFonts w:ascii="Calibri" w:hAnsi="Calibri"/>
      <w:kern w:val="2"/>
      <w:sz w:val="21"/>
      <w:szCs w:val="24"/>
    </w:rPr>
  </w:style>
  <w:style w:type="character" w:customStyle="1" w:styleId="58">
    <w:name w:val="页眉 字符"/>
    <w:basedOn w:val="35"/>
    <w:link w:val="24"/>
    <w:qFormat/>
    <w:uiPriority w:val="99"/>
    <w:rPr>
      <w:sz w:val="18"/>
      <w:szCs w:val="18"/>
    </w:rPr>
  </w:style>
  <w:style w:type="character" w:customStyle="1" w:styleId="59">
    <w:name w:val="页脚 字符"/>
    <w:basedOn w:val="35"/>
    <w:link w:val="23"/>
    <w:qFormat/>
    <w:uiPriority w:val="99"/>
    <w:rPr>
      <w:sz w:val="18"/>
      <w:szCs w:val="18"/>
    </w:rPr>
  </w:style>
  <w:style w:type="character" w:customStyle="1" w:styleId="60">
    <w:name w:val="文档结构图 字符"/>
    <w:basedOn w:val="35"/>
    <w:link w:val="13"/>
    <w:semiHidden/>
    <w:qFormat/>
    <w:uiPriority w:val="99"/>
    <w:rPr>
      <w:rFonts w:ascii="宋体" w:hAnsi="Calibri"/>
      <w:kern w:val="2"/>
      <w:sz w:val="18"/>
      <w:szCs w:val="18"/>
    </w:rPr>
  </w:style>
  <w:style w:type="character" w:customStyle="1" w:styleId="61">
    <w:name w:val="纯文本 字符"/>
    <w:basedOn w:val="35"/>
    <w:link w:val="19"/>
    <w:qFormat/>
    <w:uiPriority w:val="99"/>
    <w:rPr>
      <w:rFonts w:ascii="宋体" w:hAnsi="Courier New"/>
      <w:szCs w:val="21"/>
    </w:rPr>
  </w:style>
  <w:style w:type="character" w:customStyle="1" w:styleId="62">
    <w:name w:val="HTML 预设格式 字符"/>
    <w:basedOn w:val="35"/>
    <w:link w:val="28"/>
    <w:qFormat/>
    <w:uiPriority w:val="99"/>
    <w:rPr>
      <w:rFonts w:ascii="宋体" w:hAnsi="宋体" w:cs="宋体"/>
      <w:sz w:val="24"/>
      <w:szCs w:val="24"/>
    </w:rPr>
  </w:style>
  <w:style w:type="character" w:customStyle="1" w:styleId="63">
    <w:name w:val="批注主题 字符"/>
    <w:basedOn w:val="57"/>
    <w:link w:val="31"/>
    <w:semiHidden/>
    <w:qFormat/>
    <w:uiPriority w:val="0"/>
    <w:rPr>
      <w:rFonts w:ascii="Calibri" w:hAnsi="Calibri"/>
      <w:kern w:val="2"/>
      <w:sz w:val="21"/>
      <w:szCs w:val="24"/>
    </w:rPr>
  </w:style>
  <w:style w:type="character" w:customStyle="1" w:styleId="64">
    <w:name w:val="批注框文本 字符"/>
    <w:basedOn w:val="35"/>
    <w:link w:val="22"/>
    <w:semiHidden/>
    <w:qFormat/>
    <w:uiPriority w:val="99"/>
    <w:rPr>
      <w:rFonts w:ascii="Calibri" w:hAnsi="Calibri"/>
      <w:sz w:val="18"/>
      <w:szCs w:val="18"/>
    </w:rPr>
  </w:style>
  <w:style w:type="paragraph" w:styleId="65">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66">
    <w:name w:val="List Paragraph"/>
    <w:basedOn w:val="1"/>
    <w:qFormat/>
    <w:uiPriority w:val="34"/>
    <w:pPr>
      <w:ind w:firstLine="420" w:firstLineChars="200"/>
    </w:pPr>
    <w:rPr>
      <w:szCs w:val="22"/>
    </w:rPr>
  </w:style>
  <w:style w:type="character" w:customStyle="1" w:styleId="67">
    <w:name w:val="标题 Char"/>
    <w:basedOn w:val="35"/>
    <w:qFormat/>
    <w:uiPriority w:val="10"/>
    <w:rPr>
      <w:rFonts w:asciiTheme="majorHAnsi" w:hAnsiTheme="majorHAnsi" w:cstheme="majorBidi"/>
      <w:b/>
      <w:bCs/>
      <w:kern w:val="2"/>
      <w:sz w:val="32"/>
      <w:szCs w:val="32"/>
    </w:rPr>
  </w:style>
  <w:style w:type="character" w:customStyle="1" w:styleId="68">
    <w:name w:val="标题 字符"/>
    <w:link w:val="30"/>
    <w:qFormat/>
    <w:locked/>
    <w:uiPriority w:val="99"/>
    <w:rPr>
      <w:rFonts w:eastAsia="黑体"/>
      <w:bCs/>
      <w:sz w:val="32"/>
      <w:szCs w:val="32"/>
    </w:rPr>
  </w:style>
  <w:style w:type="character" w:customStyle="1" w:styleId="69">
    <w:name w:val="脚注文本 字符"/>
    <w:basedOn w:val="35"/>
    <w:link w:val="26"/>
    <w:semiHidden/>
    <w:qFormat/>
    <w:uiPriority w:val="99"/>
    <w:rPr>
      <w:rFonts w:ascii="Calibri" w:hAnsi="Calibri"/>
      <w:kern w:val="2"/>
      <w:sz w:val="18"/>
      <w:szCs w:val="18"/>
    </w:rPr>
  </w:style>
  <w:style w:type="paragraph" w:customStyle="1" w:styleId="70">
    <w:name w:val="TOC 标题2"/>
    <w:basedOn w:val="3"/>
    <w:next w:val="1"/>
    <w:unhideWhenUsed/>
    <w:qFormat/>
    <w:uiPriority w:val="39"/>
    <w:pPr>
      <w:numPr>
        <w:numId w:val="0"/>
      </w:numPr>
      <w:spacing w:before="480" w:line="276" w:lineRule="auto"/>
      <w:outlineLvl w:val="9"/>
    </w:pPr>
    <w:rPr>
      <w:rFonts w:asciiTheme="majorHAnsi" w:hAnsiTheme="majorHAnsi" w:eastAsiaTheme="majorEastAsia" w:cstheme="majorBidi"/>
      <w:b/>
      <w:color w:val="376092" w:themeColor="accent1" w:themeShade="BF"/>
      <w:kern w:val="0"/>
      <w:sz w:val="28"/>
      <w:szCs w:val="28"/>
    </w:rPr>
  </w:style>
  <w:style w:type="character" w:customStyle="1" w:styleId="71">
    <w:name w:val="font21"/>
    <w:basedOn w:val="35"/>
    <w:qFormat/>
    <w:uiPriority w:val="0"/>
    <w:rPr>
      <w:rFonts w:hint="eastAsia" w:ascii="宋体" w:hAnsi="宋体" w:eastAsia="宋体" w:cs="宋体"/>
      <w:color w:val="000000"/>
      <w:sz w:val="20"/>
      <w:szCs w:val="20"/>
      <w:u w:val="none"/>
    </w:rPr>
  </w:style>
  <w:style w:type="paragraph" w:customStyle="1" w:styleId="72">
    <w:name w:val="样式1"/>
    <w:basedOn w:val="1"/>
    <w:link w:val="73"/>
    <w:qFormat/>
    <w:uiPriority w:val="0"/>
    <w:pPr>
      <w:tabs>
        <w:tab w:val="left" w:pos="630"/>
      </w:tabs>
      <w:ind w:firstLine="640" w:firstLineChars="200"/>
    </w:pPr>
    <w:rPr>
      <w:rFonts w:ascii="仿宋_GB2312" w:eastAsia="仿宋_GB2312" w:cstheme="minorBidi"/>
      <w:sz w:val="32"/>
      <w:szCs w:val="32"/>
    </w:rPr>
  </w:style>
  <w:style w:type="character" w:customStyle="1" w:styleId="73">
    <w:name w:val="样式1 Char"/>
    <w:basedOn w:val="35"/>
    <w:link w:val="72"/>
    <w:qFormat/>
    <w:uiPriority w:val="0"/>
    <w:rPr>
      <w:rFonts w:ascii="仿宋_GB2312" w:hAnsi="Calibri" w:eastAsia="仿宋_GB2312" w:cstheme="minorBidi"/>
      <w:kern w:val="2"/>
      <w:sz w:val="32"/>
      <w:szCs w:val="32"/>
    </w:rPr>
  </w:style>
  <w:style w:type="paragraph" w:customStyle="1" w:styleId="74">
    <w:name w:val="question-temp"/>
    <w:basedOn w:val="1"/>
    <w:qFormat/>
    <w:uiPriority w:val="0"/>
    <w:pPr>
      <w:spacing w:after="60"/>
    </w:pPr>
    <w:rPr>
      <w:rFonts w:ascii="微软雅黑" w:hAnsi="微软雅黑" w:eastAsia="微软雅黑"/>
      <w:sz w:val="18"/>
    </w:rPr>
  </w:style>
  <w:style w:type="character" w:customStyle="1" w:styleId="75">
    <w:name w:val="日期 字符"/>
    <w:basedOn w:val="35"/>
    <w:link w:val="20"/>
    <w:semiHidden/>
    <w:qFormat/>
    <w:uiPriority w:val="99"/>
    <w:rPr>
      <w:rFonts w:ascii="Calibri" w:hAnsi="Calibri"/>
      <w:kern w:val="2"/>
      <w:sz w:val="21"/>
      <w:szCs w:val="24"/>
    </w:rPr>
  </w:style>
  <w:style w:type="character" w:customStyle="1" w:styleId="76">
    <w:name w:val="闻政标题6 Char"/>
    <w:link w:val="77"/>
    <w:qFormat/>
    <w:uiPriority w:val="0"/>
    <w:rPr>
      <w:rFonts w:eastAsia="仿宋_GB2312"/>
      <w:b/>
      <w:sz w:val="28"/>
      <w:szCs w:val="28"/>
    </w:rPr>
  </w:style>
  <w:style w:type="paragraph" w:customStyle="1" w:styleId="77">
    <w:name w:val="闻政标题6"/>
    <w:basedOn w:val="1"/>
    <w:link w:val="76"/>
    <w:qFormat/>
    <w:uiPriority w:val="0"/>
    <w:pPr>
      <w:spacing w:before="120" w:after="60" w:line="500" w:lineRule="exact"/>
      <w:ind w:firstLine="200" w:firstLineChars="200"/>
    </w:pPr>
    <w:rPr>
      <w:rFonts w:ascii="Times New Roman" w:hAnsi="Times New Roman" w:eastAsia="仿宋_GB2312"/>
      <w:b/>
      <w:kern w:val="0"/>
      <w:sz w:val="28"/>
      <w:szCs w:val="28"/>
    </w:rPr>
  </w:style>
  <w:style w:type="character" w:customStyle="1" w:styleId="78">
    <w:name w:val="闻政正文 Char"/>
    <w:link w:val="46"/>
    <w:qFormat/>
    <w:uiPriority w:val="0"/>
    <w:rPr>
      <w:rFonts w:ascii="Calibri" w:hAnsi="Calibri" w:eastAsia="仿宋_GB2312"/>
      <w:sz w:val="28"/>
      <w:szCs w:val="28"/>
    </w:rPr>
  </w:style>
  <w:style w:type="character" w:customStyle="1" w:styleId="79">
    <w:name w:val="font51"/>
    <w:basedOn w:val="35"/>
    <w:qFormat/>
    <w:uiPriority w:val="0"/>
    <w:rPr>
      <w:rFonts w:hint="eastAsia" w:ascii="宋体" w:hAnsi="宋体" w:eastAsia="宋体" w:cs="宋体"/>
      <w:b/>
      <w:color w:val="000000"/>
      <w:sz w:val="20"/>
      <w:szCs w:val="20"/>
      <w:u w:val="none"/>
    </w:rPr>
  </w:style>
  <w:style w:type="paragraph" w:customStyle="1" w:styleId="80">
    <w:name w:val="表名"/>
    <w:basedOn w:val="1"/>
    <w:qFormat/>
    <w:uiPriority w:val="0"/>
    <w:pPr>
      <w:spacing w:beforeLines="50" w:afterLines="50" w:line="360" w:lineRule="auto"/>
      <w:jc w:val="center"/>
    </w:pPr>
    <w:rPr>
      <w:rFonts w:ascii="Times New Roman" w:hAnsi="Times New Roman" w:eastAsia="黑体" w:cs="Times New Roman"/>
      <w:sz w:val="28"/>
      <w:szCs w:val="24"/>
    </w:rPr>
  </w:style>
  <w:style w:type="paragraph" w:customStyle="1" w:styleId="81">
    <w:name w:val="表格"/>
    <w:basedOn w:val="1"/>
    <w:qFormat/>
    <w:uiPriority w:val="0"/>
    <w:pPr>
      <w:spacing w:line="320" w:lineRule="exact"/>
      <w:jc w:val="center"/>
    </w:pPr>
    <w:rPr>
      <w:rFonts w:ascii="Times New Roman" w:hAnsi="Times New Roman" w:cs="Times New Roman"/>
      <w:sz w:val="20"/>
      <w:szCs w:val="24"/>
    </w:rPr>
  </w:style>
  <w:style w:type="character" w:customStyle="1" w:styleId="82">
    <w:name w:val="font31"/>
    <w:basedOn w:val="35"/>
    <w:qFormat/>
    <w:uiPriority w:val="0"/>
    <w:rPr>
      <w:rFonts w:hint="eastAsia" w:ascii="宋体" w:hAnsi="宋体" w:eastAsia="宋体" w:cs="宋体"/>
      <w:b/>
      <w:color w:val="000000"/>
      <w:sz w:val="20"/>
      <w:szCs w:val="20"/>
      <w:u w:val="none"/>
    </w:rPr>
  </w:style>
  <w:style w:type="character" w:customStyle="1" w:styleId="83">
    <w:name w:val="font61"/>
    <w:basedOn w:val="35"/>
    <w:qFormat/>
    <w:uiPriority w:val="0"/>
    <w:rPr>
      <w:rFonts w:hint="eastAsia" w:ascii="宋体" w:hAnsi="宋体" w:eastAsia="宋体" w:cs="宋体"/>
      <w:b/>
      <w:color w:val="000000"/>
      <w:sz w:val="20"/>
      <w:szCs w:val="20"/>
      <w:u w:val="none"/>
    </w:rPr>
  </w:style>
  <w:style w:type="character" w:customStyle="1" w:styleId="84">
    <w:name w:val="font41"/>
    <w:basedOn w:val="35"/>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5921</Words>
  <Characters>6322</Characters>
  <Lines>417</Lines>
  <Paragraphs>117</Paragraphs>
  <TotalTime>69</TotalTime>
  <ScaleCrop>false</ScaleCrop>
  <LinksUpToDate>false</LinksUpToDate>
  <CharactersWithSpaces>6331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2019-08-21T09:48:00Z</dcterms:created>
  <dc:creator>L</dc:creator>
  <cp:lastModifiedBy>baixin</cp:lastModifiedBy>
  <cp:lastPrinted>2021-09-04T17:39:00Z</cp:lastPrinted>
  <dcterms:modified xsi:type="dcterms:W3CDTF">2023-01-17T10:40:11Z</dcterms:modified>
  <cp:revision>1538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18283EA2F2DF44809F7588B1B387A99B</vt:lpwstr>
  </property>
</Properties>
</file>