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675" w:lineRule="atLeast"/>
        <w:ind w:left="-225" w:right="-225"/>
        <w:jc w:val="center"/>
        <w:rPr>
          <w:rFonts w:hint="eastAsia" w:ascii="宋体" w:hAnsi="宋体" w:eastAsia="宋体" w:cs="宋体"/>
          <w:b w:val="0"/>
          <w:color w:val="333333"/>
          <w:sz w:val="37"/>
          <w:szCs w:val="37"/>
        </w:rPr>
      </w:pPr>
      <w:r>
        <w:rPr>
          <w:rFonts w:hint="eastAsia" w:ascii="宋体" w:hAnsi="宋体" w:eastAsia="宋体" w:cs="宋体"/>
          <w:b w:val="0"/>
          <w:color w:val="333333"/>
          <w:sz w:val="37"/>
          <w:szCs w:val="37"/>
        </w:rPr>
        <w:t>财政部关于全面推进行政事业单位</w:t>
      </w:r>
    </w:p>
    <w:p>
      <w:pPr>
        <w:pStyle w:val="2"/>
        <w:keepNext w:val="0"/>
        <w:keepLines w:val="0"/>
        <w:widowControl/>
        <w:suppressLineNumbers w:val="0"/>
        <w:spacing w:line="675" w:lineRule="atLeast"/>
        <w:ind w:left="-225" w:right="-225"/>
        <w:jc w:val="center"/>
        <w:rPr>
          <w:rFonts w:hint="eastAsia" w:ascii="宋体" w:hAnsi="宋体" w:eastAsia="宋体" w:cs="宋体"/>
          <w:b w:val="0"/>
          <w:color w:val="333333"/>
          <w:sz w:val="37"/>
          <w:szCs w:val="37"/>
        </w:rPr>
      </w:pPr>
      <w:r>
        <w:rPr>
          <w:rFonts w:hint="eastAsia" w:ascii="宋体" w:hAnsi="宋体" w:eastAsia="宋体" w:cs="宋体"/>
          <w:b w:val="0"/>
          <w:color w:val="333333"/>
          <w:sz w:val="37"/>
          <w:szCs w:val="37"/>
        </w:rPr>
        <w:t>内部控制建设的指导意见</w:t>
      </w:r>
    </w:p>
    <w:p>
      <w:pPr>
        <w:rPr>
          <w:rFonts w:hint="eastAsia"/>
        </w:rPr>
      </w:pPr>
    </w:p>
    <w:p>
      <w:pPr>
        <w:pStyle w:val="3"/>
        <w:keepNext w:val="0"/>
        <w:keepLines w:val="0"/>
        <w:widowControl/>
        <w:suppressLineNumbers w:val="0"/>
        <w:spacing w:after="225" w:afterAutospacing="0" w:line="21" w:lineRule="atLeast"/>
        <w:jc w:val="center"/>
      </w:pPr>
      <w:r>
        <w:rPr>
          <w:rFonts w:hint="eastAsia" w:ascii="宋体" w:hAnsi="宋体" w:eastAsia="宋体" w:cs="宋体"/>
          <w:color w:val="0000FF"/>
          <w:sz w:val="21"/>
          <w:szCs w:val="21"/>
          <w:lang w:val="en-US" w:eastAsia="zh-CN"/>
        </w:rPr>
        <w:t xml:space="preserve">                             </w:t>
      </w:r>
      <w:r>
        <w:rPr>
          <w:rFonts w:hint="eastAsia" w:ascii="宋体" w:hAnsi="宋体" w:eastAsia="宋体" w:cs="宋体"/>
          <w:color w:val="0000FF"/>
          <w:sz w:val="21"/>
          <w:szCs w:val="21"/>
        </w:rPr>
        <w:t>财会[2015]24号 </w:t>
      </w:r>
      <w:r>
        <w:rPr>
          <w:rFonts w:hint="eastAsia" w:ascii="宋体" w:hAnsi="宋体" w:eastAsia="宋体" w:cs="宋体"/>
          <w:color w:val="333333"/>
          <w:sz w:val="21"/>
          <w:szCs w:val="21"/>
        </w:rPr>
        <w:t>               </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党中央有关部门，国务院各部委、各直属机构，全国人大常委会办公厅，全国政协办公厅,高法院，高检院，各民主党派中央，有关人民团体，各省、自治区、直辖市、计划单列市财政厅（局），新疆生产建设兵团财务局：</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内部控制是保障组织权力规范有序、科学高效运行的有效手段，也是组织目标实现的长效保障机制。自《行政事业单位内部控制规范（试行）》（财会〔2012〕21号，以下简称《单位内控规范》）发布实施以来，各行政事业单位积极推进内部控制建设，取得了初步成效。但也存在部分单位重视不够、制度建设不健全、发展水平不平衡等问题。党的十八届四中全会通过的《中共中央关于全面推进依法治国若干重大问题的决定》明确提出：“对财政资金分配使用、国有资产监管、政府投资、政府采购、公共资源转让、公共工程建设等权力集中的部门和岗位实行分事行权、分岗设权、分级授权，定期轮岗，强化内部流程控制，防止权力滥用”，为行政事业单位加强内部控制建设指明了方向。为认真贯彻落实党的十八届四中全会精神，现对全面推进行政事业单位内部控制建设提出以下指导意见。</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一、总体要求</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一）指导思想。高举中国特色社会主义伟大旗帜，认真贯彻落实党的十八大和十八届三中、四中、五中全会精神，深入贯彻习近平总书记系列重要讲话精神，全面推进行政事业单位内部控制建设，规范行政事业单位内部经济和业务活动，强化对内部权力运行的制约，防止内部权力滥用，建立健全科学高效的制约和监督体系，促进单位公共服务效能和内部治理水平不断提高，为实现国家治理体系和治理能力现代化奠定坚实基础、提供有力支撑。</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（二）基本原则。</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1.坚持全面推进。行政事业单位（以下简称单位）应当按照党的十八届四中全会决定关于强化内部控制的精神和《单位内控规范》的具体要求，全面建立、有效实施内部控制，确保内部控制覆盖单位经济和业务活动的全范围，贯穿内部权力运行的决策、执行和监督全过程，规范单位内部各层级的全体人员。</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2.坚持科学规划。单位应当科学运用内部控制机制原理，结合自身的业务性质、业务范围、管理架构，合理界定岗位职责、业务流程和内部权力运行结构，依托制度规范和信息系统，将制约内部权力运行嵌入内部控制的各个层级、各个方面、各个环节。</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3.坚持问题导向。单位应当针对内部管理薄弱环节和风险隐患，特别是涉及内部权力集中的财政资金分配使用、国有资产监管、政府投资、政府采购、公共资源转让、公共工程建设等重点领域和关键岗位，合理配置权责，细化权力运行流程，明确关键控制节点和风险评估要求，提高内部控制的针对性和有效性。</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4.坚持共同治理。充分发挥内部控制与其他内部监督机制的相互促进作用，形成监管合力，优化监督效果；充分发挥政府、单位、社会和市场的各自作用，各级财政部门要加强统筹规划、督促指导，主动争取审计、监察等部门的支持，共同推动内部控制建设和有效实施；单位要切实履行内部控制建设的主体责任；要建立公平、公开、公正的市场竞争和激励机制，鼓励社会第三方参与单位内部控制建设和发挥外部监督作用，形成单位内部控制建设的合力。</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三）总体目标。以单位全面执行《单位内控规范》为抓手，以规范单位经济和业务活动有序运行为主线，以内部控制量化评价为导向，以信息系统为支撑，突出规范重点领域、关键岗位的经济和业务活动运行流程、制约措施，逐步将控制对象从经济活动层面拓展到全部业务活动和内部权力运行，到2020年，基本建成与国家治理体系和治理能力现代化相适应的，权责一致、制衡有效、运行顺畅、执行有力、管理科学的内部控制体系，更好发挥内部控制在提升内部治理水平、规范内部权力运行、促进依法行政、推进廉政建设中的重要作用。</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二、主要任务</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一）健全内部控制体系，强化内部流程控制。单位应当按照内部控制要求，在单位主要负责人直接领导下，建立适合本单位实际情况的内部控制体系，全面梳理业务流程，明确业务环节，分析风险隐患，完善风险评估机制，制定风险应对策略；有效运用不相容岗位相互分离、内部授权审批控制、归口管理、预算控制、财产保护控制、会计控制、单据控制、信息内部公开等内部控制基本方法，加强对单位层面和业务层面的内部控制，实现内部控制体系全面、有效实施。</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已经建立并实施内部控制的单位，应当按照本指导意见和《单位内控规范》要求，对本单位内部控制制度的全面性、重要性、制衡性、适应性和有效性进行自我评价、对照检查，并针对存在的问题，抓好整改落实，进一步健全制度，提高执行力，完善监督措施，确保内部控制有效实施。内部控制尚未建立或内部控制制度不健全的单位，必须于2016年底前完成内部控制的建立和实施工作。</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二）加强内部权力制衡，规范内部权力运行。分事行权、分岗设权、分级授权和定期轮岗，是制约权力运行、加强内部控制的基本要求和有效措施。单位应当根据自身的业务性质、业务范围、管理架构，按照决策、执行、监督相互分离、相互制衡的要求，科学设置内设机构、管理层级、岗位职责权限、权力运行规程，切实做到分事行权、分岗设权、分级授权，并定期轮岗。分事行权，就是对经济和业务活动的决策、执行、监督，必须明确分工、相互分离、分别行权，防止职责混淆、权限交叉；分岗设权，就是对涉及经济和业务活动的相关岗位，必须依职定岗、分岗定权、权责明确，防止岗位职责不清、设权界限混乱；分级授权，就是对各管理层级和各工作岗位，必须依法依规分别授权，明确授权范围、授权对象、授权期限、授权与行权责任、一般授权与特殊授权界限，防止授权不当、越权办事。同时，对重点领域的关键岗位，在健全岗位设置、规范岗位管理、加强岗位胜任能力评估的基础上，通过明确轮岗范围、轮岗条件、轮岗周期、交接流程、责任追溯等要求，建立干部交流和定期轮岗制度，不具备轮岗条件的单位应当采用专项审计等控制措施。对轮岗后发现原工作岗位存在失职或违法违纪行为的，应当按国家有关规定追责。</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三）建立内控报告制度，促进内控信息公开。针对内部控制建立和实施的实际情况，单位应当按照《单位内控规范》的要求积极开展内部控制自我评价工作。单位内部控制自我评价情况应当作为部门决算报告和财务报告的重要组成内容进行报告。积极推进内部控制信息公开，通过面向单位内部和外部定期公开内部控制相关信息，逐步建立规范有序、及时可靠的内部控制信息公开机制，更好发挥信息公开对内部控制建设的促进和监督作用。</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四）加强监督检查工作，加大考评问责力度。监督检查和自我评价，是内部控制得以有效实施的重要保障。单位应当建立健全内部控制的监督检查和自我评价制度，通过日常监督和专项监督，检查内部控制实施过程中存在的突出问题、管理漏洞和薄弱环节，进一步改进和加强内部控制；通过自我评价，评估内部控制的全面性、重要性、制衡性、适应性和有效性，进一步改进和完善内部控制。同时，单位要将内部监督、自我评价与干部考核、追责问责结合起来，并将内部监督、自我评价结果采取适当的方式予以内部公开，强化自我监督、自我约束的自觉性，促进自我监督、自我约束机制的不断完善。</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三、保障措施</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一）加强组织领导。各地区、各部门要充分认识全面推进行政事业单位内部控制建设的重要意义，把制约内部权力运行、强化内部控制，作为当前和今后一个时期的重要工作来抓，切实加强对单位内部控制建设的组织领导，建立健全由财政、审计、监察等部门参与的协调机制，协同推进内部控制建设和监督检查工作。同时，积极探索建立单位财务报告内部控制实施情况注册会计师审计制度，将单位内部控制建设纳入制度化、规范化轨道。</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二）抓好贯彻落实。单位要按照本指导意见确定的总体要求、主要任务和时间表，认真抓好内部控制建设，确保制度健全、执行有力、监督到位。单位主要负责人应当主持制定工作方案，明确工作分工，配备工作人员，健全工作机制，充分利用信息化手段，组织、推动本单位内部控制建设，并对建立与实施内部控制的有效性承担领导责任。</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三）强化督导检查。各级财政部门要加强对单位内部控制建立与实施情况的监督检查，公开监督检查结果，并将监督检查结果、内部控制自我评价情况和注册会计师审计情况作为安排财政预算、实施预算绩效评价与中期财政规划的参考依据。同时，加强与审计、监察等部门的沟通协调和信息共享，形成监督合力，避免重复检查。</w:t>
      </w:r>
    </w:p>
    <w:p>
      <w:pPr>
        <w:pStyle w:val="3"/>
        <w:keepNext w:val="0"/>
        <w:keepLines w:val="0"/>
        <w:widowControl/>
        <w:suppressLineNumbers w:val="0"/>
        <w:spacing w:after="225" w:afterAutospacing="0" w:line="21" w:lineRule="atLeast"/>
        <w:jc w:val="left"/>
      </w:pPr>
      <w:r>
        <w:rPr>
          <w:rFonts w:hint="eastAsia" w:ascii="宋体" w:hAnsi="宋体" w:eastAsia="宋体" w:cs="宋体"/>
          <w:color w:val="333333"/>
          <w:sz w:val="21"/>
          <w:szCs w:val="21"/>
        </w:rPr>
        <w:t>　　（四）深入宣传教育。各地区、各部门、各单位要加大宣传教育力度，广泛宣传制约内部权力运行、强化内部控制的必要性和紧迫性，广泛宣传相关先进经验和典型做法，引导单位广大干部职工自觉提高风险防范和抵制权力滥用意识，确保权力规范有序运行。同时，要加强对单位领导干部和工作人员有关制约内部权力运行、强化内部控制方面的教育培训，为全面推进行政事业单位内部控制建设营造良好的环境和氛围。</w:t>
      </w:r>
    </w:p>
    <w:p>
      <w:pPr>
        <w:pStyle w:val="3"/>
        <w:keepNext w:val="0"/>
        <w:keepLines w:val="0"/>
        <w:widowControl/>
        <w:suppressLineNumbers w:val="0"/>
        <w:spacing w:after="225" w:afterAutospacing="0" w:line="21" w:lineRule="atLeast"/>
        <w:jc w:val="right"/>
        <w:rPr>
          <w:rFonts w:hint="eastAsia" w:ascii="宋体" w:hAnsi="宋体" w:eastAsia="宋体" w:cs="宋体"/>
          <w:color w:val="333333"/>
          <w:sz w:val="21"/>
          <w:szCs w:val="21"/>
        </w:rPr>
      </w:pPr>
    </w:p>
    <w:p>
      <w:pPr>
        <w:pStyle w:val="3"/>
        <w:keepNext w:val="0"/>
        <w:keepLines w:val="0"/>
        <w:widowControl/>
        <w:suppressLineNumbers w:val="0"/>
        <w:spacing w:after="225" w:afterAutospacing="0" w:line="21" w:lineRule="atLeast"/>
        <w:jc w:val="center"/>
      </w:pPr>
      <w:r>
        <w:rPr>
          <w:rFonts w:hint="eastAsia" w:ascii="宋体" w:hAnsi="宋体" w:eastAsia="宋体" w:cs="宋体"/>
          <w:color w:val="333333"/>
          <w:sz w:val="21"/>
          <w:szCs w:val="21"/>
          <w:lang w:val="en-US" w:eastAsia="zh-CN"/>
        </w:rPr>
        <w:t xml:space="preserve">                                                             </w:t>
      </w:r>
      <w:bookmarkStart w:id="0" w:name="_GoBack"/>
      <w:bookmarkEnd w:id="0"/>
      <w:r>
        <w:rPr>
          <w:rFonts w:hint="eastAsia" w:ascii="宋体" w:hAnsi="宋体" w:eastAsia="宋体" w:cs="宋体"/>
          <w:color w:val="333333"/>
          <w:sz w:val="21"/>
          <w:szCs w:val="21"/>
        </w:rPr>
        <w:t>财政部</w:t>
      </w:r>
    </w:p>
    <w:p>
      <w:pPr>
        <w:pStyle w:val="3"/>
        <w:keepNext w:val="0"/>
        <w:keepLines w:val="0"/>
        <w:widowControl/>
        <w:suppressLineNumbers w:val="0"/>
        <w:spacing w:after="225" w:afterAutospacing="0" w:line="21" w:lineRule="atLeast"/>
        <w:jc w:val="right"/>
      </w:pPr>
      <w:r>
        <w:rPr>
          <w:rFonts w:hint="eastAsia" w:ascii="宋体" w:hAnsi="宋体" w:eastAsia="宋体" w:cs="宋体"/>
          <w:color w:val="333333"/>
          <w:sz w:val="21"/>
          <w:szCs w:val="21"/>
        </w:rPr>
        <w:t>2015年12月21日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Glyphicons Halfling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enlo">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Impact">
    <w:panose1 w:val="020B0806030902050204"/>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CC4AA6"/>
    <w:rsid w:val="00E06AA1"/>
    <w:rsid w:val="69CC4AA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jc w:val="left"/>
    </w:pPr>
    <w:rPr>
      <w:rFonts w:hint="eastAsia" w:ascii="宋体" w:hAnsi="宋体" w:eastAsia="宋体" w:cs="宋体"/>
      <w:b/>
      <w:kern w:val="44"/>
      <w:sz w:val="24"/>
      <w:szCs w:val="24"/>
      <w:lang w:val="en-US" w:eastAsia="zh-CN" w:bidi="ar"/>
    </w:rPr>
  </w:style>
  <w:style w:type="character" w:default="1" w:styleId="4">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000000"/>
      <w:u w:val="none"/>
    </w:rPr>
  </w:style>
  <w:style w:type="character" w:styleId="7">
    <w:name w:val="Emphasis"/>
    <w:basedOn w:val="4"/>
    <w:qFormat/>
    <w:uiPriority w:val="0"/>
  </w:style>
  <w:style w:type="character" w:styleId="8">
    <w:name w:val="HTML Definition"/>
    <w:basedOn w:val="4"/>
    <w:qFormat/>
    <w:uiPriority w:val="0"/>
  </w:style>
  <w:style w:type="character" w:styleId="9">
    <w:name w:val="HTML Variable"/>
    <w:basedOn w:val="4"/>
    <w:qFormat/>
    <w:uiPriority w:val="0"/>
  </w:style>
  <w:style w:type="character" w:styleId="10">
    <w:name w:val="Hyperlink"/>
    <w:basedOn w:val="4"/>
    <w:uiPriority w:val="0"/>
    <w:rPr>
      <w:color w:val="000000"/>
      <w:u w:val="none"/>
    </w:rPr>
  </w:style>
  <w:style w:type="character" w:styleId="11">
    <w:name w:val="HTML Code"/>
    <w:basedOn w:val="4"/>
    <w:uiPriority w:val="0"/>
    <w:rPr>
      <w:rFonts w:hint="default" w:ascii="Menlo" w:hAnsi="Menlo" w:eastAsia="Menlo" w:cs="Menlo"/>
      <w:color w:val="C7254E"/>
      <w:sz w:val="21"/>
      <w:szCs w:val="21"/>
      <w:shd w:val="clear" w:fill="F9F2F4"/>
    </w:rPr>
  </w:style>
  <w:style w:type="character" w:styleId="12">
    <w:name w:val="HTML Cite"/>
    <w:basedOn w:val="4"/>
    <w:qFormat/>
    <w:uiPriority w:val="0"/>
  </w:style>
  <w:style w:type="character" w:styleId="13">
    <w:name w:val="HTML Keyboard"/>
    <w:basedOn w:val="4"/>
    <w:qFormat/>
    <w:uiPriority w:val="0"/>
    <w:rPr>
      <w:rFonts w:hint="default" w:ascii="Menlo" w:hAnsi="Menlo" w:eastAsia="Menlo" w:cs="Menlo"/>
      <w:color w:val="FFFFFF"/>
      <w:sz w:val="21"/>
      <w:szCs w:val="21"/>
      <w:shd w:val="clear" w:fill="333333"/>
    </w:rPr>
  </w:style>
  <w:style w:type="character" w:styleId="14">
    <w:name w:val="HTML Sample"/>
    <w:basedOn w:val="4"/>
    <w:qFormat/>
    <w:uiPriority w:val="0"/>
    <w:rPr>
      <w:rFonts w:ascii="Menlo" w:hAnsi="Menlo" w:eastAsia="Menlo" w:cs="Menlo"/>
      <w:sz w:val="21"/>
      <w:szCs w:val="21"/>
    </w:rPr>
  </w:style>
  <w:style w:type="character" w:customStyle="1" w:styleId="16">
    <w:name w:val="comment-link-numtext"/>
    <w:basedOn w:val="4"/>
    <w:qFormat/>
    <w:uiPriority w:val="0"/>
  </w:style>
  <w:style w:type="character" w:customStyle="1" w:styleId="17">
    <w:name w:val="text-null"/>
    <w:basedOn w:val="4"/>
    <w:qFormat/>
    <w:uiPriority w:val="0"/>
    <w:rPr>
      <w:color w:val="E74851"/>
    </w:rPr>
  </w:style>
  <w:style w:type="character" w:customStyle="1" w:styleId="18">
    <w:name w:val="hover25"/>
    <w:basedOn w:val="4"/>
    <w:qFormat/>
    <w:uiPriority w:val="0"/>
    <w:rPr>
      <w:color w:val="FFFFFF"/>
      <w:shd w:val="clear" w:fill="F9AC00"/>
    </w:rPr>
  </w:style>
  <w:style w:type="character" w:customStyle="1" w:styleId="19">
    <w:name w:val="number2"/>
    <w:basedOn w:val="4"/>
    <w:uiPriority w:val="0"/>
    <w:rPr>
      <w:color w:val="E74851"/>
    </w:rPr>
  </w:style>
  <w:style w:type="character" w:customStyle="1" w:styleId="20">
    <w:name w:val="wrap-name-w"/>
    <w:basedOn w:val="4"/>
    <w:qFormat/>
    <w:uiPriority w:val="0"/>
    <w:rPr>
      <w:rFonts w:ascii="微软雅黑" w:hAnsi="微软雅黑" w:eastAsia="微软雅黑" w:cs="微软雅黑"/>
      <w:color w:val="E74851"/>
      <w:sz w:val="24"/>
      <w:szCs w:val="24"/>
    </w:rPr>
  </w:style>
  <w:style w:type="character" w:customStyle="1" w:styleId="21">
    <w:name w:val="prompt-empty-w"/>
    <w:basedOn w:val="4"/>
    <w:qFormat/>
    <w:uiPriority w:val="0"/>
    <w:rPr>
      <w:vanish/>
      <w:color w:val="E74851"/>
      <w:sz w:val="18"/>
      <w:szCs w:val="18"/>
    </w:rPr>
  </w:style>
  <w:style w:type="character" w:customStyle="1" w:styleId="22">
    <w:name w:val="comment-text-w"/>
    <w:basedOn w:val="4"/>
    <w:qFormat/>
    <w:uiPriority w:val="0"/>
    <w:rPr>
      <w:color w:val="E74851"/>
    </w:rPr>
  </w:style>
  <w:style w:type="character" w:customStyle="1" w:styleId="23">
    <w:name w:val="comment-link-num"/>
    <w:basedOn w:val="4"/>
    <w:qFormat/>
    <w:uiPriority w:val="0"/>
  </w:style>
  <w:style w:type="character" w:customStyle="1" w:styleId="24">
    <w:name w:val="comment-number"/>
    <w:basedOn w:val="4"/>
    <w:qFormat/>
    <w:uiPriority w:val="0"/>
    <w:rPr>
      <w:color w:val="E74851"/>
    </w:rPr>
  </w:style>
  <w:style w:type="character" w:customStyle="1" w:styleId="25">
    <w:name w:val="prop-span"/>
    <w:basedOn w:val="4"/>
    <w:qFormat/>
    <w:uiPriority w:val="0"/>
  </w:style>
  <w:style w:type="character" w:customStyle="1" w:styleId="26">
    <w:name w:val="number"/>
    <w:basedOn w:val="4"/>
    <w:uiPriority w:val="0"/>
    <w:rPr>
      <w:rFonts w:ascii="Impact" w:hAnsi="Impact" w:eastAsia="Impact" w:cs="Impact"/>
      <w:color w:val="E74851"/>
      <w:sz w:val="30"/>
      <w:szCs w:val="30"/>
    </w:rPr>
  </w:style>
  <w:style w:type="character" w:customStyle="1" w:styleId="27">
    <w:name w:val="prompt-empty-w4"/>
    <w:basedOn w:val="4"/>
    <w:qFormat/>
    <w:uiPriority w:val="0"/>
    <w:rPr>
      <w:color w:val="E7485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2016-11-16T03:29:00Z</dcterms:created>
  <dc:creator>lenovo</dc:creator>
  <cp:lastModifiedBy>lenovo</cp:lastModifiedBy>
  <cp:lastPrinted>2016-11-16T03:37:00Z</cp:lastPrinted>
  <dcterms:modified xsi:type="dcterms:W3CDTF">2017-03-10T07:42:42Z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